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jc w:val="center"/>
        <w:rPr>
          <w:rFonts w:hint="eastAsia" w:ascii="宋体" w:hAnsi="宋体" w:eastAsia="宋体" w:cs="宋体"/>
          <w:b/>
          <w:sz w:val="44"/>
          <w:szCs w:val="44"/>
        </w:rPr>
      </w:pPr>
    </w:p>
    <w:p>
      <w:pPr>
        <w:spacing w:line="480" w:lineRule="auto"/>
        <w:jc w:val="center"/>
        <w:rPr>
          <w:rFonts w:hint="eastAsia" w:ascii="宋体" w:hAnsi="宋体" w:eastAsia="宋体" w:cs="宋体"/>
          <w:b/>
          <w:sz w:val="44"/>
          <w:szCs w:val="44"/>
        </w:rPr>
      </w:pPr>
    </w:p>
    <w:p>
      <w:pPr>
        <w:spacing w:line="720" w:lineRule="auto"/>
        <w:jc w:val="center"/>
        <w:rPr>
          <w:rFonts w:hint="eastAsia" w:ascii="宋体" w:hAnsi="宋体" w:eastAsia="宋体" w:cs="宋体"/>
          <w:b/>
          <w:sz w:val="44"/>
          <w:szCs w:val="44"/>
        </w:rPr>
      </w:pPr>
    </w:p>
    <w:p>
      <w:pPr>
        <w:spacing w:line="720" w:lineRule="auto"/>
        <w:jc w:val="center"/>
        <w:rPr>
          <w:rFonts w:hint="eastAsia" w:ascii="宋体" w:hAnsi="宋体" w:eastAsia="宋体" w:cs="宋体"/>
          <w:b/>
          <w:sz w:val="44"/>
          <w:szCs w:val="44"/>
        </w:rPr>
      </w:pPr>
    </w:p>
    <w:p>
      <w:pPr>
        <w:spacing w:line="720" w:lineRule="auto"/>
        <w:jc w:val="center"/>
        <w:rPr>
          <w:rFonts w:hint="eastAsia" w:ascii="宋体" w:hAnsi="宋体" w:eastAsia="宋体" w:cs="宋体"/>
          <w:b/>
          <w:sz w:val="44"/>
          <w:szCs w:val="44"/>
        </w:rPr>
      </w:pPr>
    </w:p>
    <w:p>
      <w:pPr>
        <w:pStyle w:val="3"/>
        <w:spacing w:line="600" w:lineRule="auto"/>
        <w:ind w:firstLine="883"/>
        <w:jc w:val="center"/>
        <w:rPr>
          <w:rFonts w:hint="eastAsia" w:ascii="宋体" w:hAnsi="宋体" w:eastAsia="宋体" w:cs="宋体"/>
          <w:sz w:val="44"/>
          <w:szCs w:val="44"/>
        </w:rPr>
      </w:pPr>
      <w:r>
        <w:rPr>
          <w:rFonts w:hint="eastAsia" w:ascii="宋体" w:hAnsi="宋体" w:eastAsia="宋体" w:cs="宋体"/>
          <w:sz w:val="44"/>
          <w:szCs w:val="44"/>
        </w:rPr>
        <w:t>2025年海南省政府专项债券（一期）债券资金调整收益与融资自求平衡方案-海口市江东新区园区配套基础设施配套项目（三期）</w:t>
      </w:r>
    </w:p>
    <w:p>
      <w:pPr>
        <w:rPr>
          <w:rFonts w:hint="eastAsia" w:ascii="宋体" w:hAnsi="宋体" w:eastAsia="宋体" w:cs="宋体"/>
          <w:sz w:val="44"/>
          <w:szCs w:val="44"/>
        </w:rPr>
      </w:pPr>
    </w:p>
    <w:p>
      <w:pPr>
        <w:rPr>
          <w:rFonts w:hint="eastAsia" w:ascii="宋体" w:hAnsi="宋体" w:eastAsia="宋体" w:cs="宋体"/>
          <w:sz w:val="44"/>
          <w:szCs w:val="44"/>
        </w:rPr>
      </w:pPr>
    </w:p>
    <w:p>
      <w:pPr>
        <w:ind w:firstLine="1080" w:firstLineChars="300"/>
        <w:rPr>
          <w:rFonts w:hint="eastAsia" w:ascii="宋体" w:hAnsi="宋体" w:eastAsia="宋体" w:cs="宋体"/>
          <w:sz w:val="36"/>
          <w:szCs w:val="36"/>
          <w:lang w:val="en-US" w:eastAsia="zh-CN"/>
        </w:rPr>
      </w:pPr>
      <w:r>
        <w:rPr>
          <w:rFonts w:hint="eastAsia" w:ascii="宋体" w:hAnsi="宋体" w:eastAsia="宋体" w:cs="宋体"/>
          <w:sz w:val="36"/>
          <w:szCs w:val="36"/>
          <w:lang w:val="en-US" w:eastAsia="zh-CN"/>
        </w:rPr>
        <w:t>财政部门：海口市财政局</w:t>
      </w:r>
    </w:p>
    <w:p>
      <w:pPr>
        <w:rPr>
          <w:rFonts w:hint="eastAsia" w:ascii="宋体" w:hAnsi="宋体" w:eastAsia="宋体" w:cs="宋体"/>
          <w:sz w:val="36"/>
          <w:szCs w:val="36"/>
          <w:lang w:val="en-US" w:eastAsia="zh-CN"/>
        </w:rPr>
      </w:pPr>
    </w:p>
    <w:p>
      <w:pPr>
        <w:ind w:firstLine="1080" w:firstLineChars="300"/>
        <w:rPr>
          <w:rFonts w:hint="eastAsia" w:ascii="宋体" w:hAnsi="宋体" w:eastAsia="宋体" w:cs="宋体"/>
          <w:sz w:val="36"/>
          <w:szCs w:val="36"/>
          <w:lang w:val="en-US" w:eastAsia="zh-CN"/>
        </w:rPr>
      </w:pPr>
      <w:r>
        <w:rPr>
          <w:rFonts w:hint="eastAsia" w:ascii="宋体" w:hAnsi="宋体" w:eastAsia="宋体" w:cs="宋体"/>
          <w:sz w:val="36"/>
          <w:szCs w:val="36"/>
          <w:lang w:val="en-US" w:eastAsia="zh-CN"/>
        </w:rPr>
        <w:t>主管部门：海口江东新区管理局</w:t>
      </w:r>
    </w:p>
    <w:p>
      <w:pPr>
        <w:rPr>
          <w:rFonts w:hint="eastAsia" w:ascii="宋体" w:hAnsi="宋体" w:eastAsia="宋体" w:cs="宋体"/>
          <w:sz w:val="36"/>
          <w:szCs w:val="36"/>
          <w:lang w:val="en-US" w:eastAsia="zh-CN"/>
        </w:rPr>
      </w:pPr>
    </w:p>
    <w:p>
      <w:pPr>
        <w:ind w:firstLine="1080" w:firstLineChars="300"/>
        <w:rPr>
          <w:rFonts w:hint="eastAsia" w:ascii="宋体" w:hAnsi="宋体" w:eastAsia="宋体" w:cs="宋体"/>
          <w:sz w:val="36"/>
          <w:szCs w:val="36"/>
          <w:lang w:val="en-US" w:eastAsia="zh-CN"/>
        </w:rPr>
      </w:pPr>
      <w:r>
        <w:rPr>
          <w:rFonts w:hint="eastAsia" w:ascii="宋体" w:hAnsi="宋体" w:eastAsia="宋体" w:cs="宋体"/>
          <w:sz w:val="36"/>
          <w:szCs w:val="36"/>
          <w:lang w:val="en-US" w:eastAsia="zh-CN"/>
        </w:rPr>
        <w:t>业主单位：海口市路桥建设投资有限公司</w:t>
      </w:r>
    </w:p>
    <w:p>
      <w:pPr>
        <w:rPr>
          <w:rFonts w:hint="eastAsia" w:ascii="宋体" w:hAnsi="宋体" w:eastAsia="宋体" w:cs="宋体"/>
          <w:sz w:val="36"/>
          <w:szCs w:val="36"/>
          <w:lang w:val="en-US" w:eastAsia="zh-CN"/>
        </w:rPr>
      </w:pPr>
    </w:p>
    <w:p>
      <w:pPr>
        <w:jc w:val="center"/>
        <w:rPr>
          <w:rFonts w:hint="default" w:ascii="宋体" w:hAnsi="宋体" w:eastAsia="宋体" w:cs="宋体"/>
          <w:sz w:val="36"/>
          <w:szCs w:val="36"/>
          <w:lang w:val="en-US" w:eastAsia="zh-CN"/>
        </w:rPr>
      </w:pPr>
      <w:r>
        <w:rPr>
          <w:rFonts w:hint="eastAsia" w:ascii="宋体" w:hAnsi="宋体" w:eastAsia="宋体" w:cs="宋体"/>
          <w:sz w:val="36"/>
          <w:szCs w:val="36"/>
          <w:lang w:val="en-US" w:eastAsia="zh-CN"/>
        </w:rPr>
        <w:t>2025年6月</w:t>
      </w:r>
    </w:p>
    <w:p>
      <w:pPr>
        <w:spacing w:line="600" w:lineRule="auto"/>
        <w:jc w:val="center"/>
        <w:rPr>
          <w:rFonts w:hint="eastAsia" w:ascii="宋体" w:hAnsi="宋体" w:eastAsia="宋体" w:cs="宋体"/>
          <w:b/>
          <w:sz w:val="24"/>
          <w:szCs w:val="24"/>
        </w:rPr>
      </w:pPr>
    </w:p>
    <w:p>
      <w:pPr>
        <w:pStyle w:val="29"/>
        <w:spacing w:line="360" w:lineRule="auto"/>
        <w:ind w:firstLine="482"/>
        <w:rPr>
          <w:rFonts w:hint="eastAsia" w:ascii="宋体" w:hAnsi="宋体" w:eastAsia="宋体" w:cs="宋体"/>
          <w:b/>
          <w:sz w:val="24"/>
          <w:szCs w:val="24"/>
        </w:rPr>
        <w:sectPr>
          <w:pgSz w:w="11906" w:h="16838"/>
          <w:pgMar w:top="1440" w:right="1800" w:bottom="1440" w:left="1800" w:header="851" w:footer="992" w:gutter="0"/>
          <w:pgNumType w:start="0"/>
          <w:cols w:space="425" w:num="1"/>
          <w:docGrid w:type="lines" w:linePitch="312" w:charSpace="0"/>
        </w:sectPr>
      </w:pPr>
    </w:p>
    <w:sdt>
      <w:sdtPr>
        <w:rPr>
          <w:rFonts w:hint="eastAsia" w:ascii="宋体" w:hAnsi="宋体" w:eastAsia="宋体" w:cs="宋体"/>
          <w:sz w:val="24"/>
          <w:szCs w:val="24"/>
        </w:rPr>
        <w:id w:val="147482000"/>
        <w15:color w:val="DBDBDB"/>
        <w:docPartObj>
          <w:docPartGallery w:val="Table of Contents"/>
          <w:docPartUnique/>
        </w:docPartObj>
      </w:sdtPr>
      <w:sdtEndPr>
        <w:rPr>
          <w:rFonts w:hint="eastAsia" w:ascii="宋体" w:hAnsi="宋体" w:eastAsia="宋体" w:cs="宋体"/>
          <w:sz w:val="24"/>
          <w:szCs w:val="24"/>
        </w:rPr>
      </w:sdtEndPr>
      <w:sdtContent>
        <w:p>
          <w:pPr>
            <w:spacing w:line="480" w:lineRule="auto"/>
            <w:rPr>
              <w:rFonts w:hint="eastAsia" w:ascii="宋体" w:hAnsi="宋体" w:eastAsia="宋体" w:cs="宋体"/>
              <w:sz w:val="24"/>
              <w:szCs w:val="24"/>
            </w:rPr>
          </w:pPr>
        </w:p>
      </w:sdtContent>
    </w:sdt>
    <w:p>
      <w:pPr>
        <w:spacing w:line="480" w:lineRule="auto"/>
        <w:rPr>
          <w:rFonts w:hint="eastAsia" w:ascii="宋体" w:hAnsi="宋体" w:eastAsia="宋体" w:cs="宋体"/>
          <w:sz w:val="24"/>
          <w:szCs w:val="24"/>
        </w:rPr>
      </w:pPr>
    </w:p>
    <w:p>
      <w:pPr>
        <w:pStyle w:val="29"/>
        <w:spacing w:line="360" w:lineRule="auto"/>
        <w:ind w:firstLine="482"/>
        <w:outlineLvl w:val="0"/>
        <w:rPr>
          <w:rFonts w:hint="eastAsia" w:ascii="宋体" w:hAnsi="宋体" w:eastAsia="宋体" w:cs="宋体"/>
          <w:b/>
          <w:sz w:val="24"/>
          <w:szCs w:val="24"/>
        </w:rPr>
        <w:sectPr>
          <w:headerReference r:id="rId4" w:type="default"/>
          <w:footerReference r:id="rId5" w:type="default"/>
          <w:pgSz w:w="11906" w:h="16838"/>
          <w:pgMar w:top="1440" w:right="1800" w:bottom="1440" w:left="1800" w:header="851" w:footer="992" w:gutter="0"/>
          <w:pgNumType w:start="1"/>
          <w:cols w:space="425" w:num="1"/>
          <w:docGrid w:type="lines" w:linePitch="312" w:charSpace="0"/>
        </w:sectPr>
      </w:pPr>
    </w:p>
    <w:p>
      <w:pPr>
        <w:pStyle w:val="29"/>
        <w:spacing w:line="360" w:lineRule="auto"/>
        <w:ind w:firstLine="482"/>
        <w:outlineLvl w:val="0"/>
        <w:rPr>
          <w:rFonts w:hint="eastAsia" w:ascii="宋体" w:hAnsi="宋体" w:eastAsia="宋体" w:cs="宋体"/>
          <w:b/>
          <w:sz w:val="24"/>
          <w:szCs w:val="24"/>
        </w:rPr>
      </w:pPr>
      <w:bookmarkStart w:id="0" w:name="_Toc3441"/>
      <w:r>
        <w:rPr>
          <w:rFonts w:hint="eastAsia" w:ascii="宋体" w:hAnsi="宋体" w:eastAsia="宋体" w:cs="宋体"/>
          <w:b/>
          <w:sz w:val="24"/>
          <w:szCs w:val="24"/>
        </w:rPr>
        <w:t>一、债券调整情况</w:t>
      </w:r>
      <w:bookmarkEnd w:id="0"/>
    </w:p>
    <w:p>
      <w:pPr>
        <w:spacing w:before="120" w:after="120" w:line="360" w:lineRule="auto"/>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根据《关于印发&lt;地方政府专项债券用途调整操作指引&gt;的通知》（财预〔2021〕110号）、《地方政府专项债券用途调整操作指引》第五条“专项债券资金已安排的项目，可以申请调整的具体情形包括：（一）项目实施过程中发生重大变化，确无专项债券资金需求或需求少于预期的；”为了加快债券资金使用效率，现将：</w:t>
      </w:r>
    </w:p>
    <w:p>
      <w:pPr>
        <w:spacing w:before="120" w:after="120" w:line="360" w:lineRule="auto"/>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2025年海南省政府专项债券（一期）中已发行“海口市琼山区迈瀛片区（一期）城中村改造配套基础设施项目”的债券资金合计1,000.00万元调剂于海口市江东新区园区配套基础设施配套项目（三期）。</w:t>
      </w:r>
    </w:p>
    <w:p>
      <w:pPr>
        <w:spacing w:before="120" w:after="120" w:line="360" w:lineRule="auto"/>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2025年2月，2025年海南省政府专项债券（一期）发行成功，其中海口市琼山区迈瀛片区（一期）城中村改造配套基础设施项目发行金额为121,500.00万元，发行利率为1.76%，发行期限为10年。</w:t>
      </w:r>
    </w:p>
    <w:p>
      <w:pPr>
        <w:spacing w:before="120" w:after="120" w:line="360" w:lineRule="auto"/>
        <w:ind w:firstLine="480" w:firstLineChars="200"/>
        <w:rPr>
          <w:rFonts w:hint="eastAsia" w:ascii="宋体" w:hAnsi="宋体" w:eastAsia="宋体" w:cs="宋体"/>
          <w:b/>
          <w:bCs/>
          <w:kern w:val="0"/>
          <w:sz w:val="24"/>
          <w:szCs w:val="24"/>
        </w:rPr>
      </w:pPr>
      <w:r>
        <w:rPr>
          <w:rFonts w:hint="eastAsia" w:ascii="宋体" w:hAnsi="宋体" w:eastAsia="宋体" w:cs="宋体"/>
          <w:color w:val="000000"/>
          <w:sz w:val="24"/>
          <w:szCs w:val="24"/>
        </w:rPr>
        <w:t>本期调整项目具体情况如下表：</w:t>
      </w:r>
    </w:p>
    <w:p>
      <w:pPr>
        <w:widowControl/>
        <w:spacing w:line="360" w:lineRule="auto"/>
        <w:ind w:firstLine="482" w:firstLineChars="200"/>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表1 资金调整项目情况汇总表</w:t>
      </w:r>
    </w:p>
    <w:p>
      <w:pPr>
        <w:widowControl/>
        <w:jc w:val="right"/>
        <w:rPr>
          <w:rFonts w:hint="eastAsia" w:ascii="宋体" w:hAnsi="宋体" w:eastAsia="宋体" w:cs="宋体"/>
          <w:sz w:val="24"/>
          <w:szCs w:val="24"/>
        </w:rPr>
      </w:pPr>
      <w:r>
        <w:rPr>
          <w:rFonts w:hint="eastAsia" w:ascii="宋体" w:hAnsi="宋体" w:eastAsia="宋体" w:cs="宋体"/>
          <w:color w:val="000000"/>
          <w:kern w:val="0"/>
          <w:sz w:val="18"/>
          <w:szCs w:val="18"/>
        </w:rPr>
        <w:t>单位：人民币万元</w:t>
      </w:r>
    </w:p>
    <w:tbl>
      <w:tblPr>
        <w:tblStyle w:val="19"/>
        <w:tblW w:w="656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362"/>
        <w:gridCol w:w="2042"/>
        <w:gridCol w:w="1091"/>
        <w:gridCol w:w="1091"/>
        <w:gridCol w:w="1231"/>
        <w:gridCol w:w="816"/>
        <w:gridCol w:w="1911"/>
        <w:gridCol w:w="1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blHeader/>
          <w:jc w:val="center"/>
        </w:trPr>
        <w:tc>
          <w:tcPr>
            <w:tcW w:w="624" w:type="pct"/>
            <w:shd w:val="clear" w:color="000000" w:fill="D9D9D9"/>
            <w:vAlign w:val="center"/>
          </w:tcPr>
          <w:p>
            <w:pPr>
              <w:jc w:val="center"/>
              <w:rPr>
                <w:rFonts w:hint="eastAsia" w:ascii="宋体" w:hAnsi="宋体" w:eastAsia="宋体" w:cs="宋体"/>
                <w:b/>
                <w:bCs/>
                <w:color w:val="000000"/>
                <w:szCs w:val="20"/>
              </w:rPr>
            </w:pPr>
            <w:r>
              <w:rPr>
                <w:rFonts w:hint="eastAsia" w:ascii="宋体" w:hAnsi="宋体" w:eastAsia="宋体" w:cs="宋体"/>
                <w:b/>
                <w:bCs/>
                <w:color w:val="000000"/>
                <w:szCs w:val="20"/>
              </w:rPr>
              <w:t>债券名称</w:t>
            </w:r>
          </w:p>
        </w:tc>
        <w:tc>
          <w:tcPr>
            <w:tcW w:w="936" w:type="pct"/>
            <w:shd w:val="clear" w:color="000000" w:fill="D9D9D9"/>
            <w:vAlign w:val="center"/>
          </w:tcPr>
          <w:p>
            <w:pPr>
              <w:jc w:val="center"/>
              <w:rPr>
                <w:rFonts w:hint="eastAsia" w:ascii="宋体" w:hAnsi="宋体" w:eastAsia="宋体" w:cs="宋体"/>
                <w:b/>
                <w:bCs/>
                <w:color w:val="000000"/>
                <w:szCs w:val="20"/>
              </w:rPr>
            </w:pPr>
            <w:r>
              <w:rPr>
                <w:rFonts w:hint="eastAsia" w:ascii="宋体" w:hAnsi="宋体" w:eastAsia="宋体" w:cs="宋体"/>
                <w:b/>
                <w:bCs/>
                <w:color w:val="000000"/>
                <w:szCs w:val="20"/>
              </w:rPr>
              <w:t>项目名称</w:t>
            </w:r>
          </w:p>
        </w:tc>
        <w:tc>
          <w:tcPr>
            <w:tcW w:w="500" w:type="pct"/>
            <w:shd w:val="clear" w:color="000000" w:fill="D9D9D9"/>
            <w:vAlign w:val="center"/>
          </w:tcPr>
          <w:p>
            <w:pPr>
              <w:jc w:val="center"/>
              <w:rPr>
                <w:rFonts w:hint="eastAsia" w:ascii="宋体" w:hAnsi="宋体" w:eastAsia="宋体" w:cs="宋体"/>
                <w:b/>
                <w:bCs/>
                <w:color w:val="000000"/>
                <w:szCs w:val="20"/>
              </w:rPr>
            </w:pPr>
            <w:r>
              <w:rPr>
                <w:rFonts w:hint="eastAsia" w:ascii="宋体" w:hAnsi="宋体" w:eastAsia="宋体" w:cs="宋体"/>
                <w:b/>
                <w:bCs/>
                <w:color w:val="000000"/>
                <w:szCs w:val="20"/>
              </w:rPr>
              <w:t>原安排金额</w:t>
            </w:r>
          </w:p>
        </w:tc>
        <w:tc>
          <w:tcPr>
            <w:tcW w:w="500" w:type="pct"/>
            <w:shd w:val="clear" w:color="000000" w:fill="D9D9D9"/>
            <w:vAlign w:val="center"/>
          </w:tcPr>
          <w:p>
            <w:pPr>
              <w:jc w:val="center"/>
              <w:rPr>
                <w:rFonts w:hint="eastAsia" w:ascii="宋体" w:hAnsi="宋体" w:eastAsia="宋体" w:cs="宋体"/>
                <w:b/>
                <w:bCs/>
                <w:color w:val="000000"/>
                <w:szCs w:val="20"/>
              </w:rPr>
            </w:pPr>
            <w:r>
              <w:rPr>
                <w:rFonts w:hint="eastAsia" w:ascii="宋体" w:hAnsi="宋体" w:eastAsia="宋体" w:cs="宋体"/>
                <w:b/>
                <w:bCs/>
                <w:color w:val="000000"/>
                <w:szCs w:val="20"/>
              </w:rPr>
              <w:t>调减金额</w:t>
            </w:r>
          </w:p>
        </w:tc>
        <w:tc>
          <w:tcPr>
            <w:tcW w:w="564" w:type="pct"/>
            <w:shd w:val="clear" w:color="000000" w:fill="D9D9D9"/>
            <w:vAlign w:val="center"/>
          </w:tcPr>
          <w:p>
            <w:pPr>
              <w:jc w:val="center"/>
              <w:rPr>
                <w:rFonts w:hint="eastAsia" w:ascii="宋体" w:hAnsi="宋体" w:eastAsia="宋体" w:cs="宋体"/>
                <w:b/>
                <w:bCs/>
                <w:color w:val="000000"/>
                <w:szCs w:val="20"/>
              </w:rPr>
            </w:pPr>
            <w:r>
              <w:rPr>
                <w:rFonts w:hint="eastAsia" w:ascii="宋体" w:hAnsi="宋体" w:eastAsia="宋体" w:cs="宋体"/>
                <w:b/>
                <w:bCs/>
                <w:color w:val="000000"/>
                <w:szCs w:val="20"/>
              </w:rPr>
              <w:t>债券期限</w:t>
            </w:r>
          </w:p>
        </w:tc>
        <w:tc>
          <w:tcPr>
            <w:tcW w:w="374" w:type="pct"/>
            <w:shd w:val="clear" w:color="000000" w:fill="D9D9D9"/>
            <w:vAlign w:val="center"/>
          </w:tcPr>
          <w:p>
            <w:pPr>
              <w:jc w:val="center"/>
              <w:rPr>
                <w:rFonts w:hint="eastAsia" w:ascii="宋体" w:hAnsi="宋体" w:eastAsia="宋体" w:cs="宋体"/>
                <w:b/>
                <w:bCs/>
                <w:color w:val="000000"/>
                <w:szCs w:val="20"/>
              </w:rPr>
            </w:pPr>
            <w:r>
              <w:rPr>
                <w:rFonts w:hint="eastAsia" w:ascii="宋体" w:hAnsi="宋体" w:eastAsia="宋体" w:cs="宋体"/>
                <w:b/>
                <w:bCs/>
                <w:color w:val="000000"/>
                <w:szCs w:val="20"/>
              </w:rPr>
              <w:t>发行利率</w:t>
            </w:r>
          </w:p>
        </w:tc>
        <w:tc>
          <w:tcPr>
            <w:tcW w:w="876" w:type="pct"/>
            <w:shd w:val="clear" w:color="000000" w:fill="D9D9D9"/>
            <w:vAlign w:val="center"/>
          </w:tcPr>
          <w:p>
            <w:pPr>
              <w:jc w:val="center"/>
              <w:rPr>
                <w:rFonts w:hint="eastAsia" w:ascii="宋体" w:hAnsi="宋体" w:eastAsia="宋体" w:cs="宋体"/>
                <w:b/>
                <w:bCs/>
                <w:color w:val="000000"/>
                <w:szCs w:val="20"/>
              </w:rPr>
            </w:pPr>
            <w:r>
              <w:rPr>
                <w:rFonts w:hint="eastAsia" w:ascii="宋体" w:hAnsi="宋体" w:eastAsia="宋体" w:cs="宋体"/>
                <w:b/>
                <w:bCs/>
                <w:color w:val="000000"/>
                <w:szCs w:val="20"/>
              </w:rPr>
              <w:t>项目名称</w:t>
            </w:r>
          </w:p>
        </w:tc>
        <w:tc>
          <w:tcPr>
            <w:tcW w:w="625" w:type="pct"/>
            <w:shd w:val="clear" w:color="000000" w:fill="D9D9D9"/>
            <w:vAlign w:val="center"/>
          </w:tcPr>
          <w:p>
            <w:pPr>
              <w:jc w:val="center"/>
              <w:rPr>
                <w:rFonts w:hint="eastAsia" w:ascii="宋体" w:hAnsi="宋体" w:eastAsia="宋体" w:cs="宋体"/>
                <w:b/>
                <w:bCs/>
                <w:color w:val="000000"/>
                <w:szCs w:val="20"/>
              </w:rPr>
            </w:pPr>
            <w:r>
              <w:rPr>
                <w:rFonts w:hint="eastAsia" w:ascii="宋体" w:hAnsi="宋体" w:eastAsia="宋体" w:cs="宋体"/>
                <w:b/>
                <w:bCs/>
                <w:color w:val="000000"/>
                <w:szCs w:val="20"/>
              </w:rPr>
              <w:t>调增金额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624" w:type="pct"/>
            <w:shd w:val="clear" w:color="auto" w:fill="auto"/>
            <w:noWrap/>
            <w:vAlign w:val="center"/>
          </w:tcPr>
          <w:p>
            <w:pPr>
              <w:jc w:val="center"/>
              <w:rPr>
                <w:rFonts w:hint="eastAsia" w:ascii="宋体" w:hAnsi="宋体" w:eastAsia="宋体" w:cs="宋体"/>
                <w:color w:val="000000"/>
                <w:szCs w:val="20"/>
              </w:rPr>
            </w:pPr>
            <w:r>
              <w:rPr>
                <w:rFonts w:hint="eastAsia" w:ascii="宋体" w:hAnsi="宋体" w:eastAsia="宋体" w:cs="宋体"/>
                <w:color w:val="000000"/>
                <w:szCs w:val="20"/>
              </w:rPr>
              <w:t>2025年海南省政府专项债券（一期）</w:t>
            </w:r>
          </w:p>
        </w:tc>
        <w:tc>
          <w:tcPr>
            <w:tcW w:w="936" w:type="pct"/>
            <w:shd w:val="clear" w:color="auto" w:fill="auto"/>
            <w:noWrap/>
            <w:vAlign w:val="center"/>
          </w:tcPr>
          <w:p>
            <w:pPr>
              <w:jc w:val="center"/>
              <w:rPr>
                <w:rFonts w:hint="eastAsia" w:ascii="宋体" w:hAnsi="宋体" w:eastAsia="宋体" w:cs="宋体"/>
                <w:color w:val="000000"/>
                <w:szCs w:val="20"/>
              </w:rPr>
            </w:pPr>
            <w:r>
              <w:rPr>
                <w:rFonts w:hint="eastAsia" w:ascii="宋体" w:hAnsi="宋体" w:eastAsia="宋体" w:cs="宋体"/>
                <w:color w:val="000000"/>
                <w:szCs w:val="20"/>
              </w:rPr>
              <w:t>海口市琼山区迈瀛片区（一期）城中村改造配套基础设施项目</w:t>
            </w:r>
          </w:p>
        </w:tc>
        <w:tc>
          <w:tcPr>
            <w:tcW w:w="500" w:type="pct"/>
            <w:shd w:val="clear" w:color="auto" w:fill="auto"/>
            <w:noWrap/>
            <w:vAlign w:val="center"/>
          </w:tcPr>
          <w:p>
            <w:pPr>
              <w:jc w:val="center"/>
              <w:rPr>
                <w:rFonts w:hint="eastAsia" w:ascii="宋体" w:hAnsi="宋体" w:eastAsia="宋体" w:cs="宋体"/>
                <w:color w:val="000000"/>
                <w:szCs w:val="20"/>
              </w:rPr>
            </w:pPr>
            <w:r>
              <w:rPr>
                <w:rFonts w:hint="eastAsia" w:ascii="宋体" w:hAnsi="宋体" w:eastAsia="宋体" w:cs="宋体"/>
                <w:color w:val="000000"/>
                <w:szCs w:val="20"/>
              </w:rPr>
              <w:t>121,500.00</w:t>
            </w:r>
          </w:p>
        </w:tc>
        <w:tc>
          <w:tcPr>
            <w:tcW w:w="500" w:type="pct"/>
            <w:shd w:val="clear" w:color="auto" w:fill="auto"/>
            <w:noWrap/>
            <w:vAlign w:val="center"/>
          </w:tcPr>
          <w:p>
            <w:pPr>
              <w:jc w:val="center"/>
              <w:rPr>
                <w:rFonts w:hint="eastAsia" w:ascii="宋体" w:hAnsi="宋体" w:eastAsia="宋体" w:cs="宋体"/>
                <w:color w:val="000000"/>
                <w:szCs w:val="20"/>
              </w:rPr>
            </w:pPr>
            <w:r>
              <w:rPr>
                <w:rFonts w:hint="eastAsia" w:ascii="宋体" w:hAnsi="宋体" w:eastAsia="宋体" w:cs="宋体"/>
                <w:color w:val="000000"/>
                <w:szCs w:val="20"/>
              </w:rPr>
              <w:t>1,000.00</w:t>
            </w:r>
          </w:p>
        </w:tc>
        <w:tc>
          <w:tcPr>
            <w:tcW w:w="564" w:type="pct"/>
            <w:shd w:val="clear" w:color="auto" w:fill="auto"/>
            <w:noWrap/>
            <w:vAlign w:val="center"/>
          </w:tcPr>
          <w:p>
            <w:pPr>
              <w:jc w:val="center"/>
              <w:rPr>
                <w:rFonts w:hint="eastAsia" w:ascii="宋体" w:hAnsi="宋体" w:eastAsia="宋体" w:cs="宋体"/>
                <w:color w:val="000000"/>
                <w:szCs w:val="20"/>
              </w:rPr>
            </w:pPr>
            <w:r>
              <w:rPr>
                <w:rFonts w:hint="eastAsia" w:ascii="宋体" w:hAnsi="宋体" w:eastAsia="宋体" w:cs="宋体"/>
                <w:color w:val="000000"/>
                <w:szCs w:val="20"/>
              </w:rPr>
              <w:t>10年</w:t>
            </w:r>
          </w:p>
        </w:tc>
        <w:tc>
          <w:tcPr>
            <w:tcW w:w="374" w:type="pct"/>
            <w:shd w:val="clear" w:color="auto" w:fill="auto"/>
            <w:noWrap/>
            <w:vAlign w:val="center"/>
          </w:tcPr>
          <w:p>
            <w:pPr>
              <w:jc w:val="center"/>
              <w:rPr>
                <w:rFonts w:hint="eastAsia" w:ascii="宋体" w:hAnsi="宋体" w:eastAsia="宋体" w:cs="宋体"/>
                <w:color w:val="000000"/>
                <w:szCs w:val="20"/>
              </w:rPr>
            </w:pPr>
            <w:r>
              <w:rPr>
                <w:rFonts w:hint="eastAsia" w:ascii="宋体" w:hAnsi="宋体" w:eastAsia="宋体" w:cs="宋体"/>
                <w:color w:val="000000"/>
                <w:szCs w:val="20"/>
              </w:rPr>
              <w:t>1.76%</w:t>
            </w:r>
          </w:p>
        </w:tc>
        <w:tc>
          <w:tcPr>
            <w:tcW w:w="876" w:type="pct"/>
            <w:shd w:val="clear" w:color="auto" w:fill="auto"/>
            <w:noWrap/>
            <w:vAlign w:val="center"/>
          </w:tcPr>
          <w:p>
            <w:pPr>
              <w:jc w:val="center"/>
              <w:rPr>
                <w:rFonts w:hint="eastAsia" w:ascii="宋体" w:hAnsi="宋体" w:eastAsia="宋体" w:cs="宋体"/>
                <w:color w:val="000000"/>
                <w:szCs w:val="20"/>
              </w:rPr>
            </w:pPr>
            <w:r>
              <w:rPr>
                <w:rFonts w:hint="eastAsia" w:ascii="宋体" w:hAnsi="宋体" w:eastAsia="宋体" w:cs="宋体"/>
                <w:color w:val="000000"/>
                <w:szCs w:val="20"/>
              </w:rPr>
              <w:t>海口市江东新区园区配套基础设施配套项目（三期）</w:t>
            </w:r>
          </w:p>
        </w:tc>
        <w:tc>
          <w:tcPr>
            <w:tcW w:w="625" w:type="pct"/>
            <w:shd w:val="clear" w:color="auto" w:fill="auto"/>
            <w:noWrap/>
            <w:vAlign w:val="center"/>
          </w:tcPr>
          <w:p>
            <w:pPr>
              <w:jc w:val="center"/>
              <w:rPr>
                <w:rFonts w:hint="eastAsia" w:ascii="宋体" w:hAnsi="宋体" w:eastAsia="宋体" w:cs="宋体"/>
                <w:color w:val="000000"/>
                <w:szCs w:val="20"/>
              </w:rPr>
            </w:pPr>
            <w:r>
              <w:rPr>
                <w:rFonts w:hint="eastAsia" w:ascii="宋体" w:hAnsi="宋体" w:eastAsia="宋体" w:cs="宋体"/>
                <w:color w:val="000000"/>
                <w:szCs w:val="20"/>
              </w:rPr>
              <w:t>1,000.00</w:t>
            </w:r>
          </w:p>
        </w:tc>
      </w:tr>
    </w:tbl>
    <w:p>
      <w:pPr>
        <w:widowControl/>
        <w:spacing w:line="360" w:lineRule="auto"/>
        <w:ind w:firstLine="482" w:firstLineChars="200"/>
        <w:jc w:val="center"/>
        <w:rPr>
          <w:rFonts w:hint="eastAsia" w:ascii="宋体" w:hAnsi="宋体" w:eastAsia="宋体" w:cs="宋体"/>
          <w:b/>
          <w:bCs/>
          <w:kern w:val="0"/>
          <w:sz w:val="24"/>
          <w:szCs w:val="24"/>
        </w:rPr>
      </w:pPr>
    </w:p>
    <w:p>
      <w:pPr>
        <w:widowControl/>
        <w:spacing w:line="360" w:lineRule="auto"/>
        <w:ind w:firstLine="482" w:firstLineChars="200"/>
        <w:jc w:val="center"/>
        <w:rPr>
          <w:rFonts w:hint="eastAsia" w:ascii="宋体" w:hAnsi="宋体" w:eastAsia="宋体" w:cs="宋体"/>
          <w:b/>
          <w:bCs/>
          <w:kern w:val="0"/>
          <w:sz w:val="24"/>
          <w:szCs w:val="24"/>
        </w:rPr>
        <w:sectPr>
          <w:footerReference r:id="rId6" w:type="default"/>
          <w:pgSz w:w="11906" w:h="16838"/>
          <w:pgMar w:top="1276" w:right="1803" w:bottom="1276" w:left="1803" w:header="709" w:footer="850" w:gutter="0"/>
          <w:pgNumType w:start="1"/>
          <w:cols w:space="0" w:num="1"/>
          <w:docGrid w:linePitch="319" w:charSpace="0"/>
        </w:sectPr>
      </w:pPr>
    </w:p>
    <w:p>
      <w:pPr>
        <w:pStyle w:val="29"/>
        <w:spacing w:line="360" w:lineRule="auto"/>
        <w:ind w:firstLine="482"/>
        <w:outlineLvl w:val="0"/>
        <w:rPr>
          <w:rFonts w:hint="eastAsia" w:ascii="宋体" w:hAnsi="宋体" w:eastAsia="宋体" w:cs="宋体"/>
          <w:b/>
          <w:sz w:val="24"/>
          <w:szCs w:val="24"/>
        </w:rPr>
      </w:pPr>
      <w:bookmarkStart w:id="1" w:name="_Toc29884"/>
      <w:r>
        <w:rPr>
          <w:rFonts w:hint="eastAsia" w:ascii="宋体" w:hAnsi="宋体" w:eastAsia="宋体" w:cs="宋体"/>
          <w:b/>
          <w:sz w:val="24"/>
          <w:szCs w:val="24"/>
        </w:rPr>
        <w:t>二、地区情况</w:t>
      </w:r>
      <w:bookmarkEnd w:id="1"/>
    </w:p>
    <w:p>
      <w:pPr>
        <w:widowControl/>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sz w:val="24"/>
          <w:szCs w:val="24"/>
        </w:rPr>
        <w:t>海口市位于北纬19°31′32″～20°04′52″，东经110°07′22″～110°42′32″。地处海南岛北部，东邻文昌市，南接定安县，西连澄迈县，北临琼州海峡与广东省隔海相望。东起大致坡镇老村，西至西秀镇拔南村，两端相距60.6千米；南起大坡镇五车上村，北至大海，两端相距62.5千米。国土面积2296.82平方千米，海域面积791平方千米。近3年地区财政情况如下表2：</w:t>
      </w:r>
    </w:p>
    <w:p>
      <w:pPr>
        <w:pStyle w:val="29"/>
        <w:tabs>
          <w:tab w:val="left" w:pos="993"/>
          <w:tab w:val="left" w:pos="1276"/>
        </w:tabs>
        <w:spacing w:after="159" w:afterLines="50" w:line="360" w:lineRule="auto"/>
        <w:ind w:left="482" w:firstLine="0" w:firstLineChars="0"/>
        <w:jc w:val="center"/>
        <w:rPr>
          <w:rFonts w:hint="eastAsia" w:ascii="宋体" w:hAnsi="宋体" w:eastAsia="宋体" w:cs="宋体"/>
          <w:b/>
          <w:sz w:val="24"/>
          <w:szCs w:val="24"/>
        </w:rPr>
      </w:pPr>
      <w:r>
        <w:rPr>
          <w:rFonts w:hint="eastAsia" w:ascii="宋体" w:hAnsi="宋体" w:eastAsia="宋体" w:cs="宋体"/>
          <w:b/>
          <w:sz w:val="24"/>
          <w:szCs w:val="24"/>
        </w:rPr>
        <w:t>表2 2022—2024年海口市财政情况</w:t>
      </w:r>
    </w:p>
    <w:p>
      <w:pPr>
        <w:jc w:val="right"/>
        <w:rPr>
          <w:rFonts w:hint="eastAsia" w:ascii="宋体" w:hAnsi="宋体" w:eastAsia="宋体" w:cs="宋体"/>
          <w:sz w:val="20"/>
          <w:szCs w:val="20"/>
        </w:rPr>
      </w:pPr>
      <w:r>
        <w:rPr>
          <w:rFonts w:hint="eastAsia" w:ascii="宋体" w:hAnsi="宋体" w:eastAsia="宋体" w:cs="宋体"/>
          <w:color w:val="000000"/>
          <w:kern w:val="0"/>
          <w:sz w:val="20"/>
          <w:szCs w:val="20"/>
          <w:lang w:bidi="ar"/>
        </w:rPr>
        <w:t>单位：亿元</w:t>
      </w:r>
    </w:p>
    <w:tbl>
      <w:tblPr>
        <w:tblStyle w:val="19"/>
        <w:tblW w:w="8277" w:type="dxa"/>
        <w:jc w:val="center"/>
        <w:tblBorders>
          <w:top w:val="single" w:color="auto" w:sz="12" w:space="0"/>
          <w:left w:val="none" w:color="auto" w:sz="0" w:space="0"/>
          <w:bottom w:val="single" w:color="auto" w:sz="12"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
      <w:tblGrid>
        <w:gridCol w:w="3248"/>
        <w:gridCol w:w="1653"/>
        <w:gridCol w:w="1688"/>
        <w:gridCol w:w="1688"/>
      </w:tblGrid>
      <w:tr>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553" w:hRule="atLeast"/>
          <w:jc w:val="center"/>
        </w:trPr>
        <w:tc>
          <w:tcPr>
            <w:tcW w:w="3248" w:type="dxa"/>
            <w:tcBorders>
              <w:top w:val="single" w:color="auto" w:sz="12" w:space="0"/>
              <w:bottom w:val="single" w:color="auto" w:sz="4" w:space="0"/>
            </w:tcBorders>
            <w:shd w:val="clear" w:color="auto" w:fill="D7D7D7" w:themeFill="background1" w:themeFillShade="D8"/>
            <w:vAlign w:val="center"/>
          </w:tcPr>
          <w:p>
            <w:pPr>
              <w:widowControl/>
              <w:jc w:val="center"/>
              <w:textAlignment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lang w:bidi="ar"/>
              </w:rPr>
              <w:t>项目</w:t>
            </w:r>
          </w:p>
        </w:tc>
        <w:tc>
          <w:tcPr>
            <w:tcW w:w="1653" w:type="dxa"/>
            <w:tcBorders>
              <w:top w:val="single" w:color="auto" w:sz="12" w:space="0"/>
              <w:bottom w:val="single" w:color="auto" w:sz="4" w:space="0"/>
            </w:tcBorders>
            <w:shd w:val="clear" w:color="auto" w:fill="D7D7D7" w:themeFill="background1" w:themeFillShade="D8"/>
            <w:vAlign w:val="center"/>
          </w:tcPr>
          <w:p>
            <w:pPr>
              <w:widowControl/>
              <w:jc w:val="center"/>
              <w:textAlignment w:val="center"/>
              <w:rPr>
                <w:rFonts w:hint="eastAsia" w:ascii="宋体" w:hAnsi="宋体" w:eastAsia="宋体" w:cs="宋体"/>
                <w:b/>
                <w:bCs/>
                <w:color w:val="000000"/>
                <w:kern w:val="0"/>
                <w:sz w:val="18"/>
                <w:szCs w:val="18"/>
                <w:lang w:bidi="ar"/>
              </w:rPr>
            </w:pPr>
            <w:r>
              <w:rPr>
                <w:rFonts w:hint="eastAsia" w:ascii="宋体" w:hAnsi="宋体" w:eastAsia="宋体" w:cs="宋体"/>
                <w:b/>
                <w:bCs/>
                <w:color w:val="000000"/>
                <w:kern w:val="0"/>
                <w:sz w:val="18"/>
                <w:szCs w:val="18"/>
                <w:lang w:bidi="ar"/>
              </w:rPr>
              <w:t>2022年</w:t>
            </w:r>
          </w:p>
        </w:tc>
        <w:tc>
          <w:tcPr>
            <w:tcW w:w="1688" w:type="dxa"/>
            <w:tcBorders>
              <w:top w:val="single" w:color="auto" w:sz="12" w:space="0"/>
              <w:bottom w:val="single" w:color="auto" w:sz="4" w:space="0"/>
            </w:tcBorders>
            <w:shd w:val="clear" w:color="auto" w:fill="D7D7D7" w:themeFill="background1" w:themeFillShade="D8"/>
            <w:vAlign w:val="center"/>
          </w:tcPr>
          <w:p>
            <w:pPr>
              <w:widowControl/>
              <w:jc w:val="center"/>
              <w:textAlignment w:val="center"/>
              <w:rPr>
                <w:rFonts w:hint="eastAsia" w:ascii="宋体" w:hAnsi="宋体" w:eastAsia="宋体" w:cs="宋体"/>
                <w:b/>
                <w:bCs/>
                <w:color w:val="000000"/>
                <w:kern w:val="0"/>
                <w:sz w:val="18"/>
                <w:szCs w:val="18"/>
                <w:lang w:bidi="ar"/>
              </w:rPr>
            </w:pPr>
            <w:r>
              <w:rPr>
                <w:rFonts w:hint="eastAsia" w:ascii="宋体" w:hAnsi="宋体" w:eastAsia="宋体" w:cs="宋体"/>
                <w:b/>
                <w:bCs/>
                <w:color w:val="000000"/>
                <w:kern w:val="0"/>
                <w:sz w:val="18"/>
                <w:szCs w:val="18"/>
                <w:lang w:bidi="ar"/>
              </w:rPr>
              <w:t>2023年</w:t>
            </w:r>
          </w:p>
        </w:tc>
        <w:tc>
          <w:tcPr>
            <w:tcW w:w="1688" w:type="dxa"/>
            <w:tcBorders>
              <w:top w:val="single" w:color="auto" w:sz="12" w:space="0"/>
              <w:bottom w:val="single" w:color="auto" w:sz="4" w:space="0"/>
            </w:tcBorders>
            <w:shd w:val="clear" w:color="auto" w:fill="D7D7D7" w:themeFill="background1" w:themeFillShade="D8"/>
            <w:vAlign w:val="center"/>
          </w:tcPr>
          <w:p>
            <w:pPr>
              <w:widowControl/>
              <w:jc w:val="center"/>
              <w:textAlignment w:val="center"/>
              <w:rPr>
                <w:rFonts w:hint="eastAsia" w:ascii="宋体" w:hAnsi="宋体" w:eastAsia="宋体" w:cs="宋体"/>
                <w:b/>
                <w:bCs/>
                <w:color w:val="000000"/>
                <w:kern w:val="0"/>
                <w:sz w:val="18"/>
                <w:szCs w:val="18"/>
                <w:lang w:bidi="ar"/>
              </w:rPr>
            </w:pPr>
            <w:r>
              <w:rPr>
                <w:rFonts w:hint="eastAsia" w:ascii="宋体" w:hAnsi="宋体" w:eastAsia="宋体" w:cs="宋体"/>
                <w:b/>
                <w:bCs/>
                <w:color w:val="000000"/>
                <w:kern w:val="0"/>
                <w:sz w:val="18"/>
                <w:szCs w:val="18"/>
                <w:lang w:bidi="ar"/>
              </w:rPr>
              <w:t>2024年</w:t>
            </w:r>
          </w:p>
        </w:tc>
      </w:tr>
      <w:tr>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507" w:hRule="atLeast"/>
          <w:jc w:val="center"/>
        </w:trPr>
        <w:tc>
          <w:tcPr>
            <w:tcW w:w="3248" w:type="dxa"/>
            <w:tcBorders>
              <w:top w:val="single" w:color="auto" w:sz="4" w:space="0"/>
            </w:tcBorders>
            <w:vAlign w:val="center"/>
          </w:tcPr>
          <w:p>
            <w:pPr>
              <w:widowControl/>
              <w:jc w:val="lef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bidi="ar"/>
              </w:rPr>
              <w:t>地区生产总值</w:t>
            </w:r>
          </w:p>
        </w:tc>
        <w:tc>
          <w:tcPr>
            <w:tcW w:w="1653" w:type="dxa"/>
            <w:tcBorders>
              <w:top w:val="single" w:color="auto" w:sz="4" w:space="0"/>
            </w:tcBorders>
            <w:vAlign w:val="center"/>
          </w:tcPr>
          <w:p>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2,134.80</w:t>
            </w:r>
          </w:p>
        </w:tc>
        <w:tc>
          <w:tcPr>
            <w:tcW w:w="1688" w:type="dxa"/>
            <w:tcBorders>
              <w:top w:val="single" w:color="auto" w:sz="4" w:space="0"/>
            </w:tcBorders>
            <w:vAlign w:val="center"/>
          </w:tcPr>
          <w:p>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2,358.44</w:t>
            </w:r>
          </w:p>
        </w:tc>
        <w:tc>
          <w:tcPr>
            <w:tcW w:w="1688" w:type="dxa"/>
            <w:tcBorders>
              <w:top w:val="single" w:color="auto" w:sz="4" w:space="0"/>
            </w:tcBorders>
            <w:vAlign w:val="center"/>
          </w:tcPr>
          <w:p>
            <w:pPr>
              <w:spacing w:line="360" w:lineRule="auto"/>
              <w:ind w:firstLine="360" w:firstLineChars="200"/>
              <w:jc w:val="center"/>
              <w:rPr>
                <w:rFonts w:hint="eastAsia" w:ascii="宋体" w:hAnsi="宋体" w:eastAsia="宋体" w:cs="宋体"/>
                <w:color w:val="000000"/>
                <w:kern w:val="0"/>
                <w:sz w:val="28"/>
                <w:szCs w:val="28"/>
              </w:rPr>
            </w:pPr>
            <w:r>
              <w:rPr>
                <w:rFonts w:hint="eastAsia" w:ascii="宋体" w:hAnsi="宋体" w:eastAsia="宋体" w:cs="宋体"/>
                <w:color w:val="000000"/>
                <w:kern w:val="0"/>
                <w:sz w:val="18"/>
                <w:szCs w:val="18"/>
              </w:rPr>
              <w:t>2470.63</w:t>
            </w:r>
          </w:p>
        </w:tc>
      </w:tr>
      <w:tr>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741" w:hRule="atLeast"/>
          <w:jc w:val="center"/>
        </w:trPr>
        <w:tc>
          <w:tcPr>
            <w:tcW w:w="3248" w:type="dxa"/>
            <w:vAlign w:val="center"/>
          </w:tcPr>
          <w:p>
            <w:pPr>
              <w:widowControl/>
              <w:jc w:val="lef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bidi="ar"/>
              </w:rPr>
              <w:t>一般预算收入(一般公共预算收入)</w:t>
            </w:r>
          </w:p>
        </w:tc>
        <w:tc>
          <w:tcPr>
            <w:tcW w:w="1653" w:type="dxa"/>
            <w:vAlign w:val="center"/>
          </w:tcPr>
          <w:p>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204.82</w:t>
            </w:r>
          </w:p>
        </w:tc>
        <w:tc>
          <w:tcPr>
            <w:tcW w:w="1688" w:type="dxa"/>
            <w:vAlign w:val="center"/>
          </w:tcPr>
          <w:p>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266.87</w:t>
            </w:r>
          </w:p>
        </w:tc>
        <w:tc>
          <w:tcPr>
            <w:tcW w:w="1688" w:type="dxa"/>
            <w:vAlign w:val="center"/>
          </w:tcPr>
          <w:p>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258.26</w:t>
            </w:r>
          </w:p>
        </w:tc>
      </w:tr>
      <w:tr>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741" w:hRule="atLeast"/>
          <w:jc w:val="center"/>
        </w:trPr>
        <w:tc>
          <w:tcPr>
            <w:tcW w:w="3248" w:type="dxa"/>
            <w:vAlign w:val="center"/>
          </w:tcPr>
          <w:p>
            <w:pPr>
              <w:widowControl/>
              <w:jc w:val="lef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bidi="ar"/>
              </w:rPr>
              <w:t>一般预算收入(一般公共预算总收入)</w:t>
            </w:r>
          </w:p>
        </w:tc>
        <w:tc>
          <w:tcPr>
            <w:tcW w:w="1653" w:type="dxa"/>
            <w:vAlign w:val="center"/>
          </w:tcPr>
          <w:p>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518.12</w:t>
            </w:r>
          </w:p>
        </w:tc>
        <w:tc>
          <w:tcPr>
            <w:tcW w:w="1688" w:type="dxa"/>
            <w:vAlign w:val="center"/>
          </w:tcPr>
          <w:p>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578.08</w:t>
            </w:r>
          </w:p>
        </w:tc>
        <w:tc>
          <w:tcPr>
            <w:tcW w:w="1688" w:type="dxa"/>
            <w:vAlign w:val="center"/>
          </w:tcPr>
          <w:p>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597.76</w:t>
            </w:r>
          </w:p>
        </w:tc>
      </w:tr>
      <w:tr>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472" w:hRule="atLeast"/>
          <w:jc w:val="center"/>
        </w:trPr>
        <w:tc>
          <w:tcPr>
            <w:tcW w:w="3248" w:type="dxa"/>
            <w:vAlign w:val="center"/>
          </w:tcPr>
          <w:p>
            <w:pPr>
              <w:widowControl/>
              <w:jc w:val="lef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bidi="ar"/>
              </w:rPr>
              <w:t>政府性基金收入</w:t>
            </w:r>
          </w:p>
        </w:tc>
        <w:tc>
          <w:tcPr>
            <w:tcW w:w="1653" w:type="dxa"/>
            <w:vAlign w:val="center"/>
          </w:tcPr>
          <w:p>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192.34</w:t>
            </w:r>
          </w:p>
        </w:tc>
        <w:tc>
          <w:tcPr>
            <w:tcW w:w="1688" w:type="dxa"/>
            <w:vAlign w:val="center"/>
          </w:tcPr>
          <w:p>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140.39</w:t>
            </w:r>
          </w:p>
        </w:tc>
        <w:tc>
          <w:tcPr>
            <w:tcW w:w="1688" w:type="dxa"/>
            <w:vAlign w:val="center"/>
          </w:tcPr>
          <w:p>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120.43</w:t>
            </w:r>
          </w:p>
        </w:tc>
      </w:tr>
      <w:tr>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472" w:hRule="atLeast"/>
          <w:jc w:val="center"/>
        </w:trPr>
        <w:tc>
          <w:tcPr>
            <w:tcW w:w="3248" w:type="dxa"/>
            <w:vAlign w:val="center"/>
          </w:tcPr>
          <w:p>
            <w:pPr>
              <w:widowControl/>
              <w:jc w:val="lef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bidi="ar"/>
              </w:rPr>
              <w:t>其中：国有土地出让收入</w:t>
            </w:r>
          </w:p>
        </w:tc>
        <w:tc>
          <w:tcPr>
            <w:tcW w:w="1653" w:type="dxa"/>
            <w:vAlign w:val="center"/>
          </w:tcPr>
          <w:p>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176.60</w:t>
            </w:r>
          </w:p>
        </w:tc>
        <w:tc>
          <w:tcPr>
            <w:tcW w:w="1688" w:type="dxa"/>
            <w:vAlign w:val="center"/>
          </w:tcPr>
          <w:p>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124.67</w:t>
            </w:r>
          </w:p>
        </w:tc>
        <w:tc>
          <w:tcPr>
            <w:tcW w:w="1688" w:type="dxa"/>
            <w:vAlign w:val="center"/>
          </w:tcPr>
          <w:p>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108.59</w:t>
            </w:r>
          </w:p>
        </w:tc>
      </w:tr>
      <w:tr>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472" w:hRule="atLeast"/>
          <w:jc w:val="center"/>
        </w:trPr>
        <w:tc>
          <w:tcPr>
            <w:tcW w:w="3248" w:type="dxa"/>
            <w:vAlign w:val="center"/>
          </w:tcPr>
          <w:p>
            <w:pPr>
              <w:widowControl/>
              <w:jc w:val="lef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bidi="ar"/>
              </w:rPr>
              <w:t>政府性基金支出</w:t>
            </w:r>
          </w:p>
        </w:tc>
        <w:tc>
          <w:tcPr>
            <w:tcW w:w="1653" w:type="dxa"/>
            <w:vAlign w:val="center"/>
          </w:tcPr>
          <w:p>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310.21</w:t>
            </w:r>
          </w:p>
        </w:tc>
        <w:tc>
          <w:tcPr>
            <w:tcW w:w="1688" w:type="dxa"/>
            <w:vAlign w:val="center"/>
          </w:tcPr>
          <w:p>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264.76</w:t>
            </w:r>
          </w:p>
        </w:tc>
        <w:tc>
          <w:tcPr>
            <w:tcW w:w="1688" w:type="dxa"/>
            <w:vAlign w:val="center"/>
          </w:tcPr>
          <w:p>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294.07</w:t>
            </w:r>
          </w:p>
        </w:tc>
      </w:tr>
      <w:tr>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472" w:hRule="atLeast"/>
          <w:jc w:val="center"/>
        </w:trPr>
        <w:tc>
          <w:tcPr>
            <w:tcW w:w="3248" w:type="dxa"/>
            <w:vAlign w:val="center"/>
          </w:tcPr>
          <w:p>
            <w:pPr>
              <w:widowControl/>
              <w:jc w:val="lef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bidi="ar"/>
              </w:rPr>
              <w:t>其中：国有土地出让支出</w:t>
            </w:r>
          </w:p>
        </w:tc>
        <w:tc>
          <w:tcPr>
            <w:tcW w:w="1653" w:type="dxa"/>
            <w:vAlign w:val="center"/>
          </w:tcPr>
          <w:p>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147.61</w:t>
            </w:r>
          </w:p>
        </w:tc>
        <w:tc>
          <w:tcPr>
            <w:tcW w:w="1688" w:type="dxa"/>
            <w:vAlign w:val="center"/>
          </w:tcPr>
          <w:p>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109.46</w:t>
            </w:r>
          </w:p>
        </w:tc>
        <w:tc>
          <w:tcPr>
            <w:tcW w:w="1688" w:type="dxa"/>
            <w:vAlign w:val="center"/>
          </w:tcPr>
          <w:p>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72.02</w:t>
            </w:r>
          </w:p>
        </w:tc>
      </w:tr>
      <w:tr>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472" w:hRule="atLeast"/>
          <w:jc w:val="center"/>
        </w:trPr>
        <w:tc>
          <w:tcPr>
            <w:tcW w:w="3248" w:type="dxa"/>
            <w:vAlign w:val="center"/>
          </w:tcPr>
          <w:p>
            <w:pPr>
              <w:widowControl/>
              <w:jc w:val="lef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bidi="ar"/>
              </w:rPr>
              <w:t>地方债务限额</w:t>
            </w:r>
          </w:p>
        </w:tc>
        <w:tc>
          <w:tcPr>
            <w:tcW w:w="1653" w:type="dxa"/>
            <w:vAlign w:val="center"/>
          </w:tcPr>
          <w:p>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752.70</w:t>
            </w:r>
          </w:p>
        </w:tc>
        <w:tc>
          <w:tcPr>
            <w:tcW w:w="1688" w:type="dxa"/>
            <w:vAlign w:val="center"/>
          </w:tcPr>
          <w:p>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892.40</w:t>
            </w:r>
          </w:p>
        </w:tc>
        <w:tc>
          <w:tcPr>
            <w:tcW w:w="1688" w:type="dxa"/>
            <w:vAlign w:val="center"/>
          </w:tcPr>
          <w:p>
            <w:pPr>
              <w:spacing w:line="360" w:lineRule="auto"/>
              <w:ind w:firstLine="360" w:firstLineChars="200"/>
              <w:jc w:val="center"/>
              <w:rPr>
                <w:rFonts w:hint="eastAsia" w:ascii="宋体" w:hAnsi="宋体" w:eastAsia="宋体" w:cs="宋体"/>
                <w:color w:val="000000"/>
                <w:kern w:val="0"/>
                <w:sz w:val="28"/>
                <w:szCs w:val="28"/>
              </w:rPr>
            </w:pPr>
            <w:r>
              <w:rPr>
                <w:rFonts w:hint="eastAsia" w:ascii="宋体" w:hAnsi="宋体" w:eastAsia="宋体" w:cs="宋体"/>
                <w:color w:val="000000"/>
                <w:kern w:val="0"/>
                <w:sz w:val="18"/>
                <w:szCs w:val="18"/>
              </w:rPr>
              <w:t>1161.30</w:t>
            </w:r>
          </w:p>
        </w:tc>
      </w:tr>
      <w:tr>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472" w:hRule="atLeast"/>
          <w:jc w:val="center"/>
        </w:trPr>
        <w:tc>
          <w:tcPr>
            <w:tcW w:w="3248" w:type="dxa"/>
            <w:vAlign w:val="center"/>
          </w:tcPr>
          <w:p>
            <w:pPr>
              <w:widowControl/>
              <w:jc w:val="lef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bidi="ar"/>
              </w:rPr>
              <w:t>其中：一般债务限额</w:t>
            </w:r>
          </w:p>
        </w:tc>
        <w:tc>
          <w:tcPr>
            <w:tcW w:w="1653" w:type="dxa"/>
            <w:vAlign w:val="center"/>
          </w:tcPr>
          <w:p>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219.77</w:t>
            </w:r>
          </w:p>
        </w:tc>
        <w:tc>
          <w:tcPr>
            <w:tcW w:w="1688" w:type="dxa"/>
            <w:vAlign w:val="center"/>
          </w:tcPr>
          <w:p>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230.47</w:t>
            </w:r>
          </w:p>
        </w:tc>
        <w:tc>
          <w:tcPr>
            <w:tcW w:w="1688" w:type="dxa"/>
            <w:vAlign w:val="center"/>
          </w:tcPr>
          <w:p>
            <w:pPr>
              <w:spacing w:line="360" w:lineRule="auto"/>
              <w:ind w:firstLine="360" w:firstLineChars="200"/>
              <w:jc w:val="center"/>
              <w:rPr>
                <w:rFonts w:hint="eastAsia" w:ascii="宋体" w:hAnsi="宋体" w:eastAsia="宋体" w:cs="宋体"/>
                <w:color w:val="000000"/>
                <w:kern w:val="0"/>
                <w:sz w:val="28"/>
                <w:szCs w:val="28"/>
              </w:rPr>
            </w:pPr>
            <w:r>
              <w:rPr>
                <w:rFonts w:hint="eastAsia" w:ascii="宋体" w:hAnsi="宋体" w:eastAsia="宋体" w:cs="宋体"/>
                <w:color w:val="000000"/>
                <w:kern w:val="0"/>
                <w:sz w:val="18"/>
                <w:szCs w:val="18"/>
              </w:rPr>
              <w:t>235.24</w:t>
            </w:r>
          </w:p>
        </w:tc>
      </w:tr>
      <w:tr>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472" w:hRule="atLeast"/>
          <w:jc w:val="center"/>
        </w:trPr>
        <w:tc>
          <w:tcPr>
            <w:tcW w:w="3248" w:type="dxa"/>
            <w:vAlign w:val="center"/>
          </w:tcPr>
          <w:p>
            <w:pPr>
              <w:widowControl/>
              <w:jc w:val="lef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bidi="ar"/>
              </w:rPr>
              <w:t>专项债务限额</w:t>
            </w:r>
          </w:p>
        </w:tc>
        <w:tc>
          <w:tcPr>
            <w:tcW w:w="1653" w:type="dxa"/>
            <w:vAlign w:val="center"/>
          </w:tcPr>
          <w:p>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532.93</w:t>
            </w:r>
          </w:p>
        </w:tc>
        <w:tc>
          <w:tcPr>
            <w:tcW w:w="1688" w:type="dxa"/>
            <w:vAlign w:val="center"/>
          </w:tcPr>
          <w:p>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661.93</w:t>
            </w:r>
          </w:p>
        </w:tc>
        <w:tc>
          <w:tcPr>
            <w:tcW w:w="1688" w:type="dxa"/>
            <w:vAlign w:val="center"/>
          </w:tcPr>
          <w:p>
            <w:pPr>
              <w:spacing w:line="360" w:lineRule="auto"/>
              <w:ind w:firstLine="360" w:firstLineChars="200"/>
              <w:jc w:val="center"/>
              <w:rPr>
                <w:rFonts w:hint="eastAsia" w:ascii="宋体" w:hAnsi="宋体" w:eastAsia="宋体" w:cs="宋体"/>
                <w:color w:val="000000"/>
                <w:kern w:val="0"/>
                <w:sz w:val="28"/>
                <w:szCs w:val="28"/>
              </w:rPr>
            </w:pPr>
            <w:r>
              <w:rPr>
                <w:rFonts w:hint="eastAsia" w:ascii="宋体" w:hAnsi="宋体" w:eastAsia="宋体" w:cs="宋体"/>
                <w:color w:val="000000"/>
                <w:kern w:val="0"/>
                <w:sz w:val="18"/>
                <w:szCs w:val="18"/>
              </w:rPr>
              <w:t>926.07</w:t>
            </w:r>
          </w:p>
        </w:tc>
      </w:tr>
      <w:tr>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472" w:hRule="atLeast"/>
          <w:jc w:val="center"/>
        </w:trPr>
        <w:tc>
          <w:tcPr>
            <w:tcW w:w="3248" w:type="dxa"/>
            <w:vAlign w:val="center"/>
          </w:tcPr>
          <w:p>
            <w:pPr>
              <w:widowControl/>
              <w:jc w:val="lef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bidi="ar"/>
              </w:rPr>
              <w:t>地方债务余额</w:t>
            </w:r>
          </w:p>
        </w:tc>
        <w:tc>
          <w:tcPr>
            <w:tcW w:w="1653" w:type="dxa"/>
            <w:vAlign w:val="center"/>
          </w:tcPr>
          <w:p>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752.70</w:t>
            </w:r>
          </w:p>
        </w:tc>
        <w:tc>
          <w:tcPr>
            <w:tcW w:w="1688" w:type="dxa"/>
            <w:vAlign w:val="center"/>
          </w:tcPr>
          <w:p>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889.45</w:t>
            </w:r>
          </w:p>
        </w:tc>
        <w:tc>
          <w:tcPr>
            <w:tcW w:w="1688" w:type="dxa"/>
            <w:vAlign w:val="center"/>
          </w:tcPr>
          <w:p>
            <w:pPr>
              <w:spacing w:line="360" w:lineRule="auto"/>
              <w:ind w:firstLine="360" w:firstLineChars="200"/>
              <w:jc w:val="center"/>
              <w:rPr>
                <w:rFonts w:hint="eastAsia" w:ascii="宋体" w:hAnsi="宋体" w:eastAsia="宋体" w:cs="宋体"/>
                <w:color w:val="000000"/>
                <w:kern w:val="0"/>
                <w:sz w:val="28"/>
                <w:szCs w:val="28"/>
              </w:rPr>
            </w:pPr>
            <w:r>
              <w:rPr>
                <w:rFonts w:hint="eastAsia" w:ascii="宋体" w:hAnsi="宋体" w:eastAsia="宋体" w:cs="宋体"/>
                <w:color w:val="000000"/>
                <w:kern w:val="0"/>
                <w:sz w:val="18"/>
                <w:szCs w:val="18"/>
              </w:rPr>
              <w:t>1141.70</w:t>
            </w:r>
          </w:p>
        </w:tc>
      </w:tr>
      <w:tr>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472" w:hRule="atLeast"/>
          <w:jc w:val="center"/>
        </w:trPr>
        <w:tc>
          <w:tcPr>
            <w:tcW w:w="3248" w:type="dxa"/>
            <w:vAlign w:val="center"/>
          </w:tcPr>
          <w:p>
            <w:pPr>
              <w:widowControl/>
              <w:jc w:val="lef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bidi="ar"/>
              </w:rPr>
              <w:t>其中：一般债务余额</w:t>
            </w:r>
          </w:p>
        </w:tc>
        <w:tc>
          <w:tcPr>
            <w:tcW w:w="1653" w:type="dxa"/>
            <w:vAlign w:val="center"/>
          </w:tcPr>
          <w:p>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219.77</w:t>
            </w:r>
          </w:p>
        </w:tc>
        <w:tc>
          <w:tcPr>
            <w:tcW w:w="1688" w:type="dxa"/>
            <w:vAlign w:val="center"/>
          </w:tcPr>
          <w:p>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228.11</w:t>
            </w:r>
          </w:p>
        </w:tc>
        <w:tc>
          <w:tcPr>
            <w:tcW w:w="1688" w:type="dxa"/>
            <w:vAlign w:val="center"/>
          </w:tcPr>
          <w:p>
            <w:pPr>
              <w:spacing w:line="360" w:lineRule="auto"/>
              <w:ind w:firstLine="360" w:firstLineChars="200"/>
              <w:jc w:val="center"/>
              <w:rPr>
                <w:rFonts w:hint="eastAsia" w:ascii="宋体" w:hAnsi="宋体" w:eastAsia="宋体" w:cs="宋体"/>
                <w:color w:val="000000"/>
                <w:kern w:val="0"/>
                <w:sz w:val="28"/>
                <w:szCs w:val="28"/>
              </w:rPr>
            </w:pPr>
            <w:r>
              <w:rPr>
                <w:rFonts w:hint="eastAsia" w:ascii="宋体" w:hAnsi="宋体" w:eastAsia="宋体" w:cs="宋体"/>
                <w:color w:val="000000"/>
                <w:kern w:val="0"/>
                <w:sz w:val="18"/>
                <w:szCs w:val="18"/>
              </w:rPr>
              <w:t>227.33</w:t>
            </w:r>
          </w:p>
        </w:tc>
      </w:tr>
      <w:tr>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576" w:hRule="atLeast"/>
          <w:jc w:val="center"/>
        </w:trPr>
        <w:tc>
          <w:tcPr>
            <w:tcW w:w="3248" w:type="dxa"/>
            <w:vAlign w:val="center"/>
          </w:tcPr>
          <w:p>
            <w:pPr>
              <w:widowControl/>
              <w:jc w:val="lef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bidi="ar"/>
              </w:rPr>
              <w:t>专项债务余额</w:t>
            </w:r>
          </w:p>
        </w:tc>
        <w:tc>
          <w:tcPr>
            <w:tcW w:w="1653" w:type="dxa"/>
            <w:vAlign w:val="center"/>
          </w:tcPr>
          <w:p>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532.93</w:t>
            </w:r>
          </w:p>
        </w:tc>
        <w:tc>
          <w:tcPr>
            <w:tcW w:w="1688" w:type="dxa"/>
            <w:vAlign w:val="center"/>
          </w:tcPr>
          <w:p>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661.34</w:t>
            </w:r>
          </w:p>
        </w:tc>
        <w:tc>
          <w:tcPr>
            <w:tcW w:w="1688" w:type="dxa"/>
            <w:vAlign w:val="center"/>
          </w:tcPr>
          <w:p>
            <w:pPr>
              <w:spacing w:line="360" w:lineRule="auto"/>
              <w:ind w:firstLine="360" w:firstLineChars="200"/>
              <w:jc w:val="center"/>
              <w:rPr>
                <w:rFonts w:hint="eastAsia" w:ascii="宋体" w:hAnsi="宋体" w:eastAsia="宋体" w:cs="宋体"/>
                <w:color w:val="000000"/>
                <w:kern w:val="0"/>
                <w:sz w:val="28"/>
                <w:szCs w:val="28"/>
              </w:rPr>
            </w:pPr>
            <w:r>
              <w:rPr>
                <w:rFonts w:hint="eastAsia" w:ascii="宋体" w:hAnsi="宋体" w:eastAsia="宋体" w:cs="宋体"/>
                <w:color w:val="000000"/>
                <w:kern w:val="0"/>
                <w:sz w:val="18"/>
                <w:szCs w:val="18"/>
              </w:rPr>
              <w:t>914.37</w:t>
            </w:r>
          </w:p>
        </w:tc>
      </w:tr>
    </w:tbl>
    <w:p>
      <w:pPr>
        <w:spacing w:line="360" w:lineRule="auto"/>
        <w:ind w:firstLine="480" w:firstLineChars="200"/>
        <w:rPr>
          <w:rFonts w:hint="eastAsia" w:ascii="宋体" w:hAnsi="宋体" w:eastAsia="宋体" w:cs="宋体"/>
          <w:b/>
          <w:sz w:val="24"/>
          <w:szCs w:val="24"/>
        </w:rPr>
      </w:pPr>
      <w:r>
        <w:rPr>
          <w:rFonts w:hint="eastAsia" w:ascii="宋体" w:hAnsi="宋体" w:eastAsia="宋体" w:cs="宋体"/>
          <w:color w:val="000000"/>
          <w:kern w:val="0"/>
          <w:sz w:val="24"/>
          <w:szCs w:val="24"/>
        </w:rPr>
        <w:t>注：以上数据来源于海口市财政局。</w:t>
      </w:r>
    </w:p>
    <w:p>
      <w:pPr>
        <w:pStyle w:val="29"/>
        <w:spacing w:line="360" w:lineRule="auto"/>
        <w:ind w:firstLine="482"/>
        <w:rPr>
          <w:rFonts w:hint="eastAsia" w:ascii="宋体" w:hAnsi="宋体" w:eastAsia="宋体" w:cs="宋体"/>
          <w:b/>
          <w:sz w:val="24"/>
          <w:szCs w:val="24"/>
        </w:rPr>
      </w:pPr>
    </w:p>
    <w:p>
      <w:pPr>
        <w:pStyle w:val="29"/>
        <w:spacing w:line="360" w:lineRule="auto"/>
        <w:ind w:firstLine="482"/>
        <w:rPr>
          <w:rFonts w:hint="eastAsia" w:ascii="宋体" w:hAnsi="宋体" w:eastAsia="宋体" w:cs="宋体"/>
          <w:b/>
          <w:sz w:val="24"/>
          <w:szCs w:val="24"/>
        </w:rPr>
      </w:pPr>
    </w:p>
    <w:p>
      <w:pPr>
        <w:pStyle w:val="29"/>
        <w:spacing w:line="360" w:lineRule="auto"/>
        <w:ind w:firstLine="482"/>
        <w:rPr>
          <w:rFonts w:hint="eastAsia" w:ascii="宋体" w:hAnsi="宋体" w:eastAsia="宋体" w:cs="宋体"/>
          <w:b/>
          <w:sz w:val="24"/>
          <w:szCs w:val="24"/>
        </w:rPr>
      </w:pPr>
    </w:p>
    <w:p>
      <w:pPr>
        <w:pStyle w:val="29"/>
        <w:spacing w:line="360" w:lineRule="auto"/>
        <w:ind w:firstLine="482"/>
        <w:rPr>
          <w:rFonts w:hint="eastAsia" w:ascii="宋体" w:hAnsi="宋体" w:eastAsia="宋体" w:cs="宋体"/>
          <w:b/>
          <w:sz w:val="24"/>
          <w:szCs w:val="24"/>
        </w:rPr>
      </w:pPr>
    </w:p>
    <w:p>
      <w:pPr>
        <w:pStyle w:val="29"/>
        <w:spacing w:line="360" w:lineRule="auto"/>
        <w:ind w:firstLine="482"/>
        <w:outlineLvl w:val="0"/>
        <w:rPr>
          <w:rFonts w:hint="eastAsia" w:ascii="宋体" w:hAnsi="宋体" w:eastAsia="宋体" w:cs="宋体"/>
          <w:b/>
          <w:sz w:val="24"/>
          <w:szCs w:val="24"/>
        </w:rPr>
      </w:pPr>
      <w:bookmarkStart w:id="2" w:name="_Toc3217"/>
      <w:r>
        <w:rPr>
          <w:rFonts w:hint="eastAsia" w:ascii="宋体" w:hAnsi="宋体" w:eastAsia="宋体" w:cs="宋体"/>
          <w:b/>
          <w:sz w:val="24"/>
          <w:szCs w:val="24"/>
        </w:rPr>
        <w:t>三、项目概述</w:t>
      </w:r>
      <w:bookmarkEnd w:id="2"/>
    </w:p>
    <w:p>
      <w:pPr>
        <w:pStyle w:val="29"/>
        <w:spacing w:line="360" w:lineRule="auto"/>
        <w:ind w:firstLine="482"/>
        <w:outlineLvl w:val="0"/>
        <w:rPr>
          <w:rFonts w:hint="eastAsia" w:ascii="宋体" w:hAnsi="宋体" w:eastAsia="宋体" w:cs="宋体"/>
          <w:b/>
          <w:sz w:val="24"/>
          <w:szCs w:val="24"/>
        </w:rPr>
      </w:pPr>
      <w:bookmarkStart w:id="3" w:name="_Toc31333"/>
      <w:r>
        <w:rPr>
          <w:rFonts w:hint="eastAsia" w:ascii="宋体" w:hAnsi="宋体" w:eastAsia="宋体" w:cs="宋体"/>
          <w:b/>
          <w:sz w:val="24"/>
          <w:szCs w:val="24"/>
        </w:rPr>
        <w:t>（一）项目基本情况</w:t>
      </w:r>
      <w:bookmarkEnd w:id="3"/>
    </w:p>
    <w:p>
      <w:pPr>
        <w:spacing w:before="120" w:after="120" w:line="360" w:lineRule="auto"/>
        <w:ind w:firstLine="480" w:firstLineChars="200"/>
        <w:rPr>
          <w:rFonts w:hint="eastAsia" w:ascii="宋体" w:hAnsi="宋体" w:eastAsia="宋体" w:cs="宋体"/>
          <w:sz w:val="24"/>
        </w:rPr>
      </w:pPr>
      <w:bookmarkStart w:id="4" w:name="_Toc30116"/>
      <w:r>
        <w:rPr>
          <w:rFonts w:hint="eastAsia" w:ascii="宋体" w:hAnsi="宋体" w:eastAsia="宋体" w:cs="宋体"/>
          <w:sz w:val="24"/>
        </w:rPr>
        <w:t>海口市江东新区园区配套基础设施配套项目（三期的建设符合国家政策支持方向，并有利于海口市基础设施建设的发展，项目基本情况如下：</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项目名称：海口市江东新区园区配套基础设施配套项目（三期）</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项目行业主管部门：海口江东新区管理局</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项目业主：海口市路桥建设投资有限公司</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项目建设期：2024年3月-2025年10月</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项目建设内容：本项目包含迈雅东巷、美庄路、谭连变电站进场道路、汇贤路、演德路和美兰特殊教育学校道路共6条市政道路，道路总长3079.962m。各道路建设规模如下：</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1）迈雅东巷：该道路西起琼山大道、东至台湾大厦，道路全长约269.395m，道路红线宽度12m，道路等级为城市支路。</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2）美庄路：道路西起椰海大道，东至接顺达路，道路全长约610.63m，道路红线宽度25m，道路等级为城市次干路。</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3）谭连变电站进场道路：道路南起谭连变电站，北至现状兴洋三横路，道路全长约410.187m，道路红线宽度12m，道路等级为城市支路。</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4）汇贤路：道路西起现状校际11#路，东至演德路，道路全长约162.599m，道路红线宽度12m，道路等级为城市支路。</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5）演德路：道路南起知行路，北至海涛大道(现状校际11#路)，道路全长约730.048m，道路红线宽度24m，道路等级为城市次干路。</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6）美兰特殊教育学校道路：该道路起终点均与新居路相交呈半环形，道路全长约897.103m，道路红线宽度15m，道路等级为城市支路。</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本项目主要建设内容包括：道路工程、桥梁工程、给水工程排水工程、照明工程(含多杆)、交通工程、缆线型管廊工程、电力工程等。</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项目总体施工进度：海口市江东新区园区配套基础设施配套项目（三期）总体施工进度为28%。</w:t>
      </w:r>
    </w:p>
    <w:p>
      <w:pPr>
        <w:pStyle w:val="29"/>
        <w:spacing w:line="360" w:lineRule="auto"/>
        <w:ind w:firstLine="482"/>
        <w:outlineLvl w:val="0"/>
        <w:rPr>
          <w:rFonts w:hint="eastAsia" w:ascii="宋体" w:hAnsi="宋体" w:eastAsia="宋体" w:cs="宋体"/>
          <w:b/>
          <w:sz w:val="24"/>
          <w:szCs w:val="24"/>
        </w:rPr>
      </w:pPr>
      <w:r>
        <w:rPr>
          <w:rFonts w:hint="eastAsia" w:ascii="宋体" w:hAnsi="宋体" w:eastAsia="宋体" w:cs="宋体"/>
          <w:b/>
          <w:sz w:val="24"/>
          <w:szCs w:val="24"/>
        </w:rPr>
        <w:t>（二）项目相关批复</w:t>
      </w:r>
      <w:bookmarkEnd w:id="4"/>
    </w:p>
    <w:p>
      <w:pPr>
        <w:spacing w:before="120" w:after="120" w:line="360" w:lineRule="auto"/>
        <w:ind w:firstLine="480" w:firstLineChars="200"/>
        <w:rPr>
          <w:rFonts w:hint="eastAsia" w:ascii="宋体" w:hAnsi="宋体" w:eastAsia="宋体" w:cs="宋体"/>
          <w:sz w:val="24"/>
        </w:rPr>
      </w:pPr>
      <w:bookmarkStart w:id="5" w:name="_Toc18339"/>
      <w:r>
        <w:rPr>
          <w:rFonts w:hint="eastAsia" w:ascii="宋体" w:hAnsi="宋体" w:eastAsia="宋体" w:cs="宋体"/>
          <w:sz w:val="24"/>
        </w:rPr>
        <w:t>（1）2023年10月27日，取得《海口江东新区管理局关于同意海口市江东新区园区配套基础设施配套项目(三期)可行性研究报告的复函》（海江东审〔2023〕246号），该函明确“为改善区域生活环境、完善海口市江东新区城市基础设施建设，同意建设海口市江东新区园区配套基础设施配套项目(三期)”。</w:t>
      </w:r>
    </w:p>
    <w:p>
      <w:pPr>
        <w:spacing w:before="120" w:after="120" w:line="360" w:lineRule="auto"/>
        <w:ind w:firstLine="480" w:firstLineChars="200"/>
        <w:rPr>
          <w:rFonts w:hint="eastAsia" w:ascii="宋体" w:hAnsi="宋体" w:eastAsia="宋体" w:cs="宋体"/>
          <w:sz w:val="24"/>
        </w:rPr>
      </w:pPr>
      <w:r>
        <w:rPr>
          <w:rFonts w:hint="eastAsia" w:ascii="宋体" w:hAnsi="宋体" w:eastAsia="宋体" w:cs="宋体"/>
          <w:sz w:val="24"/>
        </w:rPr>
        <w:t>（2）2023年11月27日，取得《海口江东新区管理局关于同意海口市江东新区园区配套基础设施配套项目(三期)初步设计及概算的复函》（海江东审〔2023〕263号），该函明确：“原则同意海口市江东新区园区配套基础设施配套项目(三期)初步设计方案，同意按此方案进行施工图设计；项目概算总投资为25089.71万元，其中工程费12987.11万元，工程建设其它费用11173.53万元(含征地拆迁费9465.18万元，该项费用以辖区政府批复为准),预备费734.77万元，建设单位管理费194.30万元”。</w:t>
      </w:r>
    </w:p>
    <w:p>
      <w:pPr>
        <w:spacing w:before="120" w:after="120" w:line="360" w:lineRule="auto"/>
        <w:ind w:firstLine="480" w:firstLineChars="200"/>
        <w:rPr>
          <w:rFonts w:hint="eastAsia" w:ascii="宋体" w:hAnsi="宋体" w:eastAsia="宋体" w:cs="宋体"/>
          <w:sz w:val="24"/>
        </w:rPr>
      </w:pPr>
      <w:r>
        <w:rPr>
          <w:rFonts w:hint="eastAsia" w:ascii="宋体" w:hAnsi="宋体" w:eastAsia="宋体" w:cs="宋体"/>
          <w:sz w:val="24"/>
        </w:rPr>
        <w:t>（4）2023年11月6日，取得《建设用地规划许可证》，发证机关为海口江东新区管理局，证号为地字第465102202300053号，用地单位为海口江东新区基础建设有限公司，项目名称为海口市江东新区园区配套基础设施配套项目(三期)，用地位置为位于海南省重点园区海口江东新区东寨港大道两侧，土地用途为公共基础设施用地，建设地点为路线总长度约3.33km,红线宽度12～25建海口市江东新区米，包含两条建设规模次干路和四条支路，设计速度为20—40km/h。</w:t>
      </w:r>
    </w:p>
    <w:p>
      <w:pPr>
        <w:spacing w:before="120" w:after="120" w:line="360" w:lineRule="auto"/>
        <w:ind w:firstLine="480" w:firstLineChars="200"/>
        <w:rPr>
          <w:rFonts w:hint="eastAsia" w:ascii="宋体" w:hAnsi="宋体" w:eastAsia="宋体" w:cs="宋体"/>
          <w:sz w:val="24"/>
        </w:rPr>
      </w:pPr>
      <w:r>
        <w:rPr>
          <w:rFonts w:hint="eastAsia" w:ascii="宋体" w:hAnsi="宋体" w:eastAsia="宋体" w:cs="宋体"/>
          <w:sz w:val="24"/>
        </w:rPr>
        <w:t>（4）2024年11月17日，取得《建设工程规划许可证》，发证机关为海口江东新区管理局，证号为建字第465102202310073号，建设单位为海口江东新区基础建设有限公司，项目名称为海口市江东新区园区配套基础设施配套项目（三期)，建设位置为海南省重点园区海口江东新区，建设规模为道路全长约2349.74m,宽度为12～25m;桥梁一座，格梁全长36.40m,桥面宽度建设规模27.2-29.8m;给携水管线长8778m,埋设深度0.834,18m;电力排管长2191m,埋设深度1.245~2.10m;缆线型管廊长度1273m,管廊内底禅深2.0~4.015m。</w:t>
      </w:r>
    </w:p>
    <w:p>
      <w:pPr>
        <w:pStyle w:val="29"/>
        <w:spacing w:line="360" w:lineRule="auto"/>
        <w:ind w:firstLine="482"/>
        <w:outlineLvl w:val="0"/>
        <w:rPr>
          <w:rFonts w:hint="eastAsia" w:ascii="宋体" w:hAnsi="宋体" w:eastAsia="宋体" w:cs="宋体"/>
          <w:b/>
          <w:sz w:val="24"/>
          <w:szCs w:val="24"/>
        </w:rPr>
      </w:pPr>
      <w:r>
        <w:rPr>
          <w:rFonts w:hint="eastAsia" w:ascii="宋体" w:hAnsi="宋体" w:eastAsia="宋体" w:cs="宋体"/>
          <w:b/>
          <w:sz w:val="24"/>
          <w:szCs w:val="24"/>
        </w:rPr>
        <w:t>（三）事前绩效评估</w:t>
      </w:r>
      <w:bookmarkEnd w:id="5"/>
    </w:p>
    <w:p>
      <w:pPr>
        <w:adjustRightInd w:val="0"/>
        <w:snapToGrid w:val="0"/>
        <w:spacing w:line="360" w:lineRule="auto"/>
        <w:ind w:firstLine="482" w:firstLineChars="200"/>
        <w:outlineLvl w:val="2"/>
        <w:rPr>
          <w:rFonts w:hint="eastAsia" w:ascii="宋体" w:hAnsi="宋体" w:eastAsia="宋体" w:cs="宋体"/>
          <w:b/>
          <w:bCs/>
          <w:kern w:val="0"/>
          <w:sz w:val="24"/>
          <w:szCs w:val="24"/>
        </w:rPr>
      </w:pPr>
      <w:r>
        <w:rPr>
          <w:rFonts w:hint="eastAsia" w:ascii="宋体" w:hAnsi="宋体" w:eastAsia="宋体" w:cs="宋体"/>
          <w:b/>
          <w:bCs/>
          <w:kern w:val="0"/>
          <w:sz w:val="24"/>
          <w:szCs w:val="24"/>
        </w:rPr>
        <w:t>1.项目的必要性与收益性</w:t>
      </w:r>
    </w:p>
    <w:p>
      <w:pPr>
        <w:adjustRightInd w:val="0"/>
        <w:snapToGrid w:val="0"/>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（1）必要性</w:t>
      </w:r>
    </w:p>
    <w:p>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2010年1月4日，国务院发布《国务院关于推进海南国际旅游岛建设发展的若干意见》。至此，海南国际旅游岛建设正式步入正轨。作为国家的重大战略部署，我国将在2020年将海南初步建成世</w:t>
      </w:r>
      <w:bookmarkStart w:id="6" w:name="bookmark24"/>
      <w:bookmarkEnd w:id="6"/>
      <w:bookmarkStart w:id="7" w:name="bookmark25"/>
      <w:bookmarkEnd w:id="7"/>
      <w:bookmarkStart w:id="8" w:name="bookmark23"/>
      <w:bookmarkEnd w:id="8"/>
      <w:bookmarkStart w:id="9" w:name="bookmark26"/>
      <w:bookmarkEnd w:id="9"/>
      <w:r>
        <w:rPr>
          <w:rFonts w:hint="eastAsia" w:ascii="宋体" w:hAnsi="宋体" w:eastAsia="宋体" w:cs="宋体"/>
          <w:sz w:val="24"/>
          <w:szCs w:val="24"/>
        </w:rPr>
        <w:t>界一流海岛休闲度假旅游胜地，使之成为开放之岛、绿色之岛、文明之岛、和谐之岛。旅游业是海南最具特色、最具潜力和竞争力的优势产业。建设海南国际旅游岛，大力发展以旅游业为龙头的现代服务业，是海南全面落实科学发展观的重大战略举措。</w:t>
      </w:r>
    </w:p>
    <w:p>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本项目建设有利于保障海口市江东新区的顺利建设，进而以点带面地带动整个区域的经济和旅游发展，有利于进一步推动海南国际旅游岛的建设进程。</w:t>
      </w:r>
    </w:p>
    <w:p>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综上所述，项目符合海南省的总体规划。本项目的建设可以提高广大人民群众的生活水平、优化生活环境，提高海口市经济水平的发展，加快海口市的建设，是提升海口市构建和谐社会的重要内容，是一项为民、惠民、利民的工程。本项目社会效益显著,项目是必要的。</w:t>
      </w:r>
    </w:p>
    <w:p>
      <w:pPr>
        <w:adjustRightInd w:val="0"/>
        <w:snapToGrid w:val="0"/>
        <w:spacing w:line="360" w:lineRule="auto"/>
        <w:ind w:firstLine="482" w:firstLineChars="200"/>
        <w:rPr>
          <w:rFonts w:hint="eastAsia" w:ascii="宋体" w:hAnsi="宋体" w:eastAsia="宋体" w:cs="宋体"/>
          <w:kern w:val="0"/>
          <w:sz w:val="24"/>
        </w:rPr>
      </w:pPr>
      <w:r>
        <w:rPr>
          <w:rFonts w:hint="eastAsia" w:ascii="宋体" w:hAnsi="宋体" w:eastAsia="宋体" w:cs="宋体"/>
          <w:b/>
          <w:bCs/>
          <w:sz w:val="24"/>
          <w:szCs w:val="24"/>
        </w:rPr>
        <w:t>（2）收益性：</w:t>
      </w:r>
      <w:r>
        <w:rPr>
          <w:rFonts w:hint="eastAsia" w:ascii="宋体" w:hAnsi="宋体" w:eastAsia="宋体" w:cs="宋体"/>
          <w:sz w:val="24"/>
          <w:szCs w:val="24"/>
        </w:rPr>
        <w:t>项目收入来源于</w:t>
      </w:r>
      <w:r>
        <w:rPr>
          <w:rFonts w:hint="eastAsia" w:ascii="宋体" w:hAnsi="宋体" w:eastAsia="宋体" w:cs="宋体"/>
          <w:color w:val="000000"/>
          <w:sz w:val="24"/>
          <w:szCs w:val="24"/>
        </w:rPr>
        <w:t>土地出让收入、广告牌出租收入</w:t>
      </w:r>
      <w:r>
        <w:rPr>
          <w:rFonts w:hint="eastAsia" w:ascii="宋体" w:hAnsi="宋体" w:eastAsia="宋体" w:cs="宋体"/>
          <w:kern w:val="0"/>
          <w:sz w:val="24"/>
        </w:rPr>
        <w:t>等。</w:t>
      </w:r>
    </w:p>
    <w:p>
      <w:pPr>
        <w:adjustRightInd w:val="0"/>
        <w:snapToGrid w:val="0"/>
        <w:spacing w:line="360" w:lineRule="auto"/>
        <w:ind w:firstLine="482" w:firstLineChars="200"/>
        <w:rPr>
          <w:rFonts w:hint="eastAsia" w:ascii="宋体" w:hAnsi="宋体" w:eastAsia="宋体" w:cs="宋体"/>
          <w:kern w:val="0"/>
          <w:sz w:val="24"/>
        </w:rPr>
      </w:pPr>
      <w:r>
        <w:rPr>
          <w:rFonts w:hint="eastAsia" w:ascii="宋体" w:hAnsi="宋体" w:eastAsia="宋体" w:cs="宋体"/>
          <w:b/>
          <w:bCs/>
          <w:kern w:val="0"/>
          <w:sz w:val="24"/>
        </w:rPr>
        <w:t>（3）公益性：</w:t>
      </w:r>
      <w:r>
        <w:rPr>
          <w:rFonts w:hint="eastAsia" w:ascii="宋体" w:hAnsi="宋体" w:eastAsia="宋体" w:cs="宋体"/>
          <w:kern w:val="0"/>
          <w:sz w:val="24"/>
        </w:rPr>
        <w:t>本项目的建设可以提高广大人民群众的生活水平、优化生活环境，提高海口市经济水平的发展，加快海口市的建设，是提升海口市构建和谐社会的重要内容，是一项为民、惠民、利民的工程。</w:t>
      </w:r>
    </w:p>
    <w:p>
      <w:pPr>
        <w:adjustRightInd w:val="0"/>
        <w:snapToGrid w:val="0"/>
        <w:spacing w:line="360" w:lineRule="auto"/>
        <w:ind w:firstLine="482" w:firstLineChars="200"/>
        <w:outlineLvl w:val="2"/>
        <w:rPr>
          <w:rFonts w:hint="eastAsia" w:ascii="宋体" w:hAnsi="宋体" w:eastAsia="宋体" w:cs="宋体"/>
          <w:b/>
          <w:bCs/>
          <w:kern w:val="0"/>
          <w:sz w:val="24"/>
          <w:szCs w:val="24"/>
        </w:rPr>
      </w:pPr>
      <w:r>
        <w:rPr>
          <w:rFonts w:hint="eastAsia" w:ascii="宋体" w:hAnsi="宋体" w:eastAsia="宋体" w:cs="宋体"/>
          <w:b/>
          <w:bCs/>
          <w:kern w:val="0"/>
          <w:sz w:val="24"/>
          <w:szCs w:val="24"/>
        </w:rPr>
        <w:t>2.项目建设投资合规性与项目成熟度</w:t>
      </w:r>
    </w:p>
    <w:p>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本项目的建设投资符合国家、海南省有关法律法规、政策文件及规范性文件要求。</w:t>
      </w:r>
    </w:p>
    <w:p>
      <w:pPr>
        <w:adjustRightInd w:val="0"/>
        <w:snapToGrid w:val="0"/>
        <w:spacing w:line="360" w:lineRule="auto"/>
        <w:ind w:firstLine="482" w:firstLineChars="200"/>
        <w:outlineLvl w:val="2"/>
        <w:rPr>
          <w:rFonts w:hint="eastAsia" w:ascii="宋体" w:hAnsi="宋体" w:eastAsia="宋体" w:cs="宋体"/>
          <w:b/>
          <w:bCs/>
          <w:kern w:val="0"/>
          <w:sz w:val="24"/>
          <w:szCs w:val="24"/>
        </w:rPr>
      </w:pPr>
      <w:r>
        <w:rPr>
          <w:rFonts w:hint="eastAsia" w:ascii="宋体" w:hAnsi="宋体" w:eastAsia="宋体" w:cs="宋体"/>
          <w:b/>
          <w:bCs/>
          <w:kern w:val="0"/>
          <w:sz w:val="24"/>
          <w:szCs w:val="24"/>
        </w:rPr>
        <w:t>3.项目资金来源和到位可行性</w:t>
      </w:r>
    </w:p>
    <w:p>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各项目主要通过发行地方政府专项债券融资以及财政资金投入，若条件允许，在满足合法合规、资金平衡要求的前提下，也可考虑发行债券方式筹集。</w:t>
      </w:r>
    </w:p>
    <w:p>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总体来看，综合海口市财政状况，财政资金到位可行性较高，专项债券部分以最终实际发行计划为准。</w:t>
      </w:r>
    </w:p>
    <w:p>
      <w:pPr>
        <w:adjustRightInd w:val="0"/>
        <w:snapToGrid w:val="0"/>
        <w:spacing w:line="360" w:lineRule="auto"/>
        <w:ind w:firstLine="482" w:firstLineChars="200"/>
        <w:outlineLvl w:val="2"/>
        <w:rPr>
          <w:rFonts w:hint="eastAsia" w:ascii="宋体" w:hAnsi="宋体" w:eastAsia="宋体" w:cs="宋体"/>
          <w:b/>
          <w:bCs/>
          <w:kern w:val="0"/>
          <w:sz w:val="24"/>
          <w:szCs w:val="24"/>
        </w:rPr>
      </w:pPr>
      <w:r>
        <w:rPr>
          <w:rFonts w:hint="eastAsia" w:ascii="宋体" w:hAnsi="宋体" w:eastAsia="宋体" w:cs="宋体"/>
          <w:b/>
          <w:bCs/>
          <w:kern w:val="0"/>
          <w:sz w:val="24"/>
          <w:szCs w:val="24"/>
        </w:rPr>
        <w:t>4.项目收入、成本、收益预测的合理性</w:t>
      </w:r>
    </w:p>
    <w:p>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本项目收入来源为</w:t>
      </w:r>
      <w:r>
        <w:rPr>
          <w:rFonts w:hint="eastAsia" w:ascii="宋体" w:hAnsi="宋体" w:eastAsia="宋体" w:cs="宋体"/>
          <w:color w:val="000000"/>
          <w:sz w:val="24"/>
          <w:szCs w:val="24"/>
        </w:rPr>
        <w:t>土地出让收入、广告牌出租收入</w:t>
      </w:r>
      <w:r>
        <w:rPr>
          <w:rFonts w:hint="eastAsia" w:ascii="宋体" w:hAnsi="宋体" w:eastAsia="宋体" w:cs="宋体"/>
          <w:kern w:val="0"/>
          <w:sz w:val="24"/>
          <w:szCs w:val="24"/>
        </w:rPr>
        <w:t>。债券存续期内，本项目本息覆盖倍数可达1.20以上。综上，在满足假设条件的前提下，能够满足资金筹措充足性的要求。项目收入、成本、收益情况均根据充分依据测算得出，较为合理。</w:t>
      </w:r>
    </w:p>
    <w:p>
      <w:pPr>
        <w:adjustRightInd w:val="0"/>
        <w:snapToGrid w:val="0"/>
        <w:spacing w:line="360" w:lineRule="auto"/>
        <w:ind w:firstLine="482" w:firstLineChars="200"/>
        <w:outlineLvl w:val="2"/>
        <w:rPr>
          <w:rFonts w:hint="eastAsia" w:ascii="宋体" w:hAnsi="宋体" w:eastAsia="宋体" w:cs="宋体"/>
          <w:b/>
          <w:bCs/>
          <w:kern w:val="0"/>
          <w:sz w:val="24"/>
          <w:szCs w:val="24"/>
        </w:rPr>
      </w:pPr>
      <w:r>
        <w:rPr>
          <w:rFonts w:hint="eastAsia" w:ascii="宋体" w:hAnsi="宋体" w:eastAsia="宋体" w:cs="宋体"/>
          <w:b/>
          <w:bCs/>
          <w:kern w:val="0"/>
          <w:sz w:val="24"/>
          <w:szCs w:val="24"/>
        </w:rPr>
        <w:t>5.债券资金需求的合理性</w:t>
      </w:r>
    </w:p>
    <w:p>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本项目资金来源主要有两方面，其中财政资金投入按照年度资金需求逐年到位；通过发行专项债券融资。由于项目实际进展情况存在变动，本次拟发行专项债券募集的债券资金将根据项目实际进展情况与资金需求统筹安排使用，但合计不得超过筹集资金总额。</w:t>
      </w:r>
    </w:p>
    <w:p>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本项目通过发行专项债券募集资金可以降低融资成本，是现阶段解决项目建设资金问题的较优方案。</w:t>
      </w:r>
    </w:p>
    <w:p>
      <w:pPr>
        <w:adjustRightInd w:val="0"/>
        <w:snapToGrid w:val="0"/>
        <w:spacing w:line="360" w:lineRule="auto"/>
        <w:ind w:firstLine="482" w:firstLineChars="200"/>
        <w:outlineLvl w:val="2"/>
        <w:rPr>
          <w:rFonts w:hint="eastAsia" w:ascii="宋体" w:hAnsi="宋体" w:eastAsia="宋体" w:cs="宋体"/>
          <w:b/>
          <w:bCs/>
          <w:kern w:val="0"/>
          <w:sz w:val="24"/>
          <w:szCs w:val="24"/>
        </w:rPr>
      </w:pPr>
      <w:r>
        <w:rPr>
          <w:rFonts w:hint="eastAsia" w:ascii="宋体" w:hAnsi="宋体" w:eastAsia="宋体" w:cs="宋体"/>
          <w:b/>
          <w:bCs/>
          <w:kern w:val="0"/>
          <w:sz w:val="24"/>
          <w:szCs w:val="24"/>
        </w:rPr>
        <w:t>6.项目偿债计划可行性和偿债风险点</w:t>
      </w:r>
    </w:p>
    <w:p>
      <w:pPr>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通过本项目融资平衡测算，一方面通过发行专项债券筹集资金能满足项目建设资金需求；另一方面项目收益也能保障债券还本付息，总体实现项目收益和融资的自求平衡。</w:t>
      </w:r>
    </w:p>
    <w:p>
      <w:pPr>
        <w:adjustRightInd w:val="0"/>
        <w:snapToGrid w:val="0"/>
        <w:spacing w:line="360" w:lineRule="auto"/>
        <w:ind w:firstLine="482" w:firstLineChars="200"/>
        <w:outlineLvl w:val="2"/>
        <w:rPr>
          <w:rFonts w:hint="eastAsia" w:ascii="宋体" w:hAnsi="宋体" w:eastAsia="宋体" w:cs="宋体"/>
          <w:b/>
          <w:bCs/>
          <w:kern w:val="0"/>
          <w:sz w:val="24"/>
          <w:szCs w:val="24"/>
        </w:rPr>
      </w:pPr>
      <w:r>
        <w:rPr>
          <w:rFonts w:hint="eastAsia" w:ascii="宋体" w:hAnsi="宋体" w:eastAsia="宋体" w:cs="宋体"/>
          <w:b/>
          <w:bCs/>
          <w:kern w:val="0"/>
          <w:sz w:val="24"/>
          <w:szCs w:val="24"/>
        </w:rPr>
        <w:t>7.绩效目标合理性</w:t>
      </w:r>
    </w:p>
    <w:p>
      <w:pPr>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项目有明确的绩效目标，并且从产出指标、效益指标、满意度指标来综合考量项目的绩效目标，指标与相关规划、计划相符，绩效目标与现实需求相匹配。项目绩效目标设置能有效反映项目的预期产出、融资成本、偿债风险等。</w:t>
      </w:r>
    </w:p>
    <w:p>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sz w:val="24"/>
          <w:szCs w:val="24"/>
        </w:rPr>
        <w:t>综上，本项目经事前绩效评估，已具备申请专项债券资金支持的必要性和可行性。</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为保障本项目合理融资需求，按照《预算法》（2014年修订）、《国务院关于加强地方政府性债务管理的意见》（国发〔2014〕43号）、《关于做好2018年地方政府债券发行工作的意见》（财库〔2018〕61号）等文件精神，结合本项目建设计划和海口市2025年发债计划，海口市政府决定通过地方政府专项债券资金调整实施本项目，以满足海口市基础设施建设的融资需求。</w:t>
      </w:r>
      <w:bookmarkStart w:id="10" w:name="_Toc4256"/>
    </w:p>
    <w:p>
      <w:pPr>
        <w:pStyle w:val="29"/>
        <w:spacing w:line="360" w:lineRule="auto"/>
        <w:ind w:firstLine="482"/>
        <w:outlineLvl w:val="0"/>
        <w:rPr>
          <w:rFonts w:hint="eastAsia" w:ascii="宋体" w:hAnsi="宋体" w:eastAsia="宋体" w:cs="宋体"/>
          <w:b/>
          <w:sz w:val="24"/>
          <w:szCs w:val="24"/>
        </w:rPr>
      </w:pPr>
      <w:r>
        <w:rPr>
          <w:rFonts w:hint="eastAsia" w:ascii="宋体" w:hAnsi="宋体" w:eastAsia="宋体" w:cs="宋体"/>
          <w:b/>
          <w:sz w:val="24"/>
          <w:szCs w:val="24"/>
        </w:rPr>
        <w:t>四、项目平衡实施方案</w:t>
      </w:r>
      <w:bookmarkEnd w:id="10"/>
    </w:p>
    <w:p>
      <w:pPr>
        <w:spacing w:before="120" w:after="120" w:line="360" w:lineRule="auto"/>
        <w:outlineLvl w:val="1"/>
        <w:rPr>
          <w:rFonts w:hint="eastAsia" w:ascii="宋体" w:hAnsi="宋体" w:eastAsia="宋体" w:cs="宋体"/>
          <w:b/>
          <w:color w:val="000000"/>
          <w:sz w:val="24"/>
          <w:szCs w:val="24"/>
        </w:rPr>
      </w:pPr>
      <w:bookmarkStart w:id="11" w:name="_Toc114818421"/>
      <w:bookmarkStart w:id="12" w:name="_Toc200555434"/>
      <w:bookmarkStart w:id="13" w:name="_Toc114818531"/>
      <w:bookmarkStart w:id="14" w:name="_Toc6700"/>
      <w:r>
        <w:rPr>
          <w:rFonts w:hint="eastAsia" w:ascii="宋体" w:hAnsi="宋体" w:eastAsia="宋体" w:cs="宋体"/>
          <w:b/>
          <w:color w:val="000000"/>
          <w:sz w:val="24"/>
          <w:szCs w:val="24"/>
        </w:rPr>
        <w:t>（一）资金充足性</w:t>
      </w:r>
      <w:bookmarkEnd w:id="11"/>
      <w:bookmarkEnd w:id="12"/>
      <w:bookmarkEnd w:id="13"/>
    </w:p>
    <w:p>
      <w:pPr>
        <w:spacing w:before="120" w:after="120" w:line="360" w:lineRule="auto"/>
        <w:ind w:firstLine="482" w:firstLineChars="200"/>
        <w:outlineLvl w:val="2"/>
        <w:rPr>
          <w:rFonts w:hint="eastAsia" w:ascii="宋体" w:hAnsi="宋体" w:eastAsia="宋体" w:cs="宋体"/>
          <w:b/>
          <w:bCs/>
          <w:color w:val="000000"/>
          <w:sz w:val="24"/>
          <w:szCs w:val="24"/>
        </w:rPr>
      </w:pPr>
      <w:bookmarkStart w:id="15" w:name="_Toc200555435"/>
      <w:bookmarkStart w:id="16" w:name="_Toc114818532"/>
      <w:bookmarkStart w:id="17" w:name="_Toc114818422"/>
      <w:r>
        <w:rPr>
          <w:rFonts w:hint="eastAsia" w:ascii="宋体" w:hAnsi="宋体" w:eastAsia="宋体" w:cs="宋体"/>
          <w:b/>
          <w:bCs/>
          <w:color w:val="000000"/>
          <w:sz w:val="24"/>
          <w:szCs w:val="24"/>
        </w:rPr>
        <w:t>1.投资估算</w:t>
      </w:r>
      <w:bookmarkEnd w:id="15"/>
      <w:bookmarkEnd w:id="16"/>
      <w:bookmarkEnd w:id="17"/>
    </w:p>
    <w:p>
      <w:pPr>
        <w:spacing w:before="120" w:after="120" w:line="360" w:lineRule="auto"/>
        <w:ind w:firstLine="480" w:firstLineChars="200"/>
        <w:rPr>
          <w:rFonts w:hint="eastAsia" w:ascii="宋体" w:hAnsi="宋体" w:eastAsia="宋体" w:cs="宋体"/>
          <w:color w:val="000000"/>
          <w:sz w:val="24"/>
          <w:szCs w:val="24"/>
        </w:rPr>
      </w:pPr>
      <w:bookmarkStart w:id="18" w:name="_Hlk114818237"/>
      <w:r>
        <w:rPr>
          <w:rFonts w:hint="eastAsia" w:ascii="宋体" w:hAnsi="宋体" w:eastAsia="宋体" w:cs="宋体"/>
          <w:color w:val="000000"/>
          <w:sz w:val="24"/>
          <w:szCs w:val="24"/>
        </w:rPr>
        <w:t>海口市江东新区园区配套基础设施配套项目（三期）总投资为25,098.51万元。</w:t>
      </w:r>
      <w:bookmarkEnd w:id="18"/>
      <w:r>
        <w:rPr>
          <w:rFonts w:hint="eastAsia" w:ascii="宋体" w:hAnsi="宋体" w:eastAsia="宋体" w:cs="宋体"/>
          <w:color w:val="000000"/>
          <w:sz w:val="24"/>
          <w:szCs w:val="24"/>
        </w:rPr>
        <w:t>详见表3。</w:t>
      </w:r>
    </w:p>
    <w:p>
      <w:pPr>
        <w:ind w:firstLine="482" w:firstLineChars="200"/>
        <w:jc w:val="center"/>
        <w:rPr>
          <w:rFonts w:hint="eastAsia" w:ascii="宋体" w:hAnsi="宋体" w:eastAsia="宋体" w:cs="宋体"/>
          <w:b/>
          <w:sz w:val="24"/>
          <w:szCs w:val="24"/>
        </w:rPr>
      </w:pPr>
      <w:r>
        <w:rPr>
          <w:rFonts w:hint="eastAsia" w:ascii="宋体" w:hAnsi="宋体" w:eastAsia="宋体" w:cs="宋体"/>
          <w:b/>
          <w:sz w:val="24"/>
          <w:szCs w:val="24"/>
        </w:rPr>
        <w:t>表3海口市江东新区园区配套基础设施配套项目（三期）总投资估算表</w:t>
      </w:r>
    </w:p>
    <w:p>
      <w:pPr>
        <w:ind w:firstLine="360" w:firstLineChars="200"/>
        <w:jc w:val="right"/>
        <w:rPr>
          <w:rFonts w:hint="eastAsia" w:ascii="宋体" w:hAnsi="宋体" w:eastAsia="宋体" w:cs="宋体"/>
          <w:sz w:val="18"/>
          <w:szCs w:val="18"/>
        </w:rPr>
      </w:pPr>
      <w:r>
        <w:rPr>
          <w:rFonts w:hint="eastAsia" w:ascii="宋体" w:hAnsi="宋体" w:eastAsia="宋体" w:cs="宋体"/>
          <w:sz w:val="18"/>
          <w:szCs w:val="18"/>
        </w:rPr>
        <w:t>单位：人民币万元</w:t>
      </w:r>
    </w:p>
    <w:tbl>
      <w:tblPr>
        <w:tblStyle w:val="1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820"/>
        <w:gridCol w:w="1892"/>
        <w:gridCol w:w="1730"/>
        <w:gridCol w:w="1957"/>
        <w:gridCol w:w="19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76" w:hRule="atLeast"/>
          <w:tblHeader/>
          <w:jc w:val="center"/>
        </w:trPr>
        <w:tc>
          <w:tcPr>
            <w:tcW w:w="491" w:type="pct"/>
            <w:shd w:val="clear" w:color="auto" w:fill="D8D8D8" w:themeFill="background1" w:themeFillShade="D9"/>
            <w:vAlign w:val="center"/>
          </w:tcPr>
          <w:p>
            <w:pPr>
              <w:jc w:val="center"/>
              <w:rPr>
                <w:rFonts w:hint="eastAsia" w:ascii="宋体" w:hAnsi="宋体" w:eastAsia="宋体" w:cs="宋体"/>
                <w:b/>
                <w:color w:val="000000"/>
                <w:szCs w:val="20"/>
              </w:rPr>
            </w:pPr>
            <w:r>
              <w:rPr>
                <w:rFonts w:hint="eastAsia" w:ascii="宋体" w:hAnsi="宋体" w:eastAsia="宋体" w:cs="宋体"/>
                <w:b/>
                <w:color w:val="000000"/>
                <w:szCs w:val="20"/>
                <w:lang w:eastAsia="zh-TW"/>
              </w:rPr>
              <w:t>序号</w:t>
            </w:r>
          </w:p>
        </w:tc>
        <w:tc>
          <w:tcPr>
            <w:tcW w:w="1132" w:type="pct"/>
            <w:shd w:val="clear" w:color="auto" w:fill="D8D8D8" w:themeFill="background1" w:themeFillShade="D9"/>
            <w:vAlign w:val="center"/>
          </w:tcPr>
          <w:p>
            <w:pPr>
              <w:jc w:val="center"/>
              <w:rPr>
                <w:rFonts w:hint="eastAsia" w:ascii="宋体" w:hAnsi="宋体" w:eastAsia="宋体" w:cs="宋体"/>
                <w:b/>
                <w:color w:val="000000"/>
                <w:szCs w:val="20"/>
              </w:rPr>
            </w:pPr>
            <w:r>
              <w:rPr>
                <w:rFonts w:hint="eastAsia" w:ascii="宋体" w:hAnsi="宋体" w:eastAsia="宋体" w:cs="宋体"/>
                <w:b/>
                <w:color w:val="000000"/>
                <w:szCs w:val="20"/>
                <w:lang w:eastAsia="zh-TW"/>
              </w:rPr>
              <w:t>项目名称</w:t>
            </w:r>
          </w:p>
        </w:tc>
        <w:tc>
          <w:tcPr>
            <w:tcW w:w="1035" w:type="pct"/>
            <w:shd w:val="clear" w:color="auto" w:fill="D8D8D8" w:themeFill="background1" w:themeFillShade="D9"/>
            <w:vAlign w:val="center"/>
          </w:tcPr>
          <w:p>
            <w:pPr>
              <w:jc w:val="center"/>
              <w:rPr>
                <w:rFonts w:hint="eastAsia" w:ascii="宋体" w:hAnsi="宋体" w:eastAsia="宋体" w:cs="宋体"/>
                <w:b/>
                <w:color w:val="000000"/>
                <w:szCs w:val="20"/>
              </w:rPr>
            </w:pPr>
            <w:r>
              <w:rPr>
                <w:rFonts w:hint="eastAsia" w:ascii="宋体" w:hAnsi="宋体" w:eastAsia="宋体" w:cs="宋体"/>
                <w:b/>
                <w:color w:val="000000"/>
                <w:szCs w:val="20"/>
              </w:rPr>
              <w:t>2024</w:t>
            </w:r>
          </w:p>
        </w:tc>
        <w:tc>
          <w:tcPr>
            <w:tcW w:w="1171" w:type="pct"/>
            <w:shd w:val="clear" w:color="auto" w:fill="D8D8D8" w:themeFill="background1" w:themeFillShade="D9"/>
            <w:vAlign w:val="center"/>
          </w:tcPr>
          <w:p>
            <w:pPr>
              <w:jc w:val="center"/>
              <w:rPr>
                <w:rFonts w:hint="eastAsia" w:ascii="宋体" w:hAnsi="宋体" w:eastAsia="宋体" w:cs="宋体"/>
                <w:b/>
                <w:color w:val="000000"/>
                <w:szCs w:val="20"/>
              </w:rPr>
            </w:pPr>
            <w:r>
              <w:rPr>
                <w:rFonts w:hint="eastAsia" w:ascii="宋体" w:hAnsi="宋体" w:eastAsia="宋体" w:cs="宋体"/>
                <w:b/>
                <w:color w:val="000000"/>
                <w:szCs w:val="20"/>
              </w:rPr>
              <w:t>2025</w:t>
            </w:r>
          </w:p>
        </w:tc>
        <w:tc>
          <w:tcPr>
            <w:tcW w:w="1171" w:type="pct"/>
            <w:shd w:val="clear" w:color="auto" w:fill="D8D8D8" w:themeFill="background1" w:themeFillShade="D9"/>
            <w:vAlign w:val="center"/>
          </w:tcPr>
          <w:p>
            <w:pPr>
              <w:jc w:val="center"/>
              <w:rPr>
                <w:rFonts w:hint="eastAsia" w:ascii="宋体" w:hAnsi="宋体" w:eastAsia="宋体" w:cs="宋体"/>
                <w:b/>
                <w:color w:val="000000"/>
                <w:szCs w:val="20"/>
                <w:lang w:eastAsia="zh-TW"/>
              </w:rPr>
            </w:pPr>
            <w:r>
              <w:rPr>
                <w:rFonts w:hint="eastAsia" w:ascii="宋体" w:hAnsi="宋体" w:eastAsia="宋体" w:cs="宋体"/>
                <w:b/>
                <w:color w:val="000000"/>
                <w:szCs w:val="20"/>
                <w:lang w:eastAsia="zh-TW"/>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76" w:hRule="atLeast"/>
          <w:jc w:val="center"/>
        </w:trPr>
        <w:tc>
          <w:tcPr>
            <w:tcW w:w="491" w:type="pct"/>
            <w:shd w:val="clear" w:color="000000" w:fill="FFFFFF"/>
            <w:vAlign w:val="center"/>
          </w:tcPr>
          <w:p>
            <w:pPr>
              <w:jc w:val="center"/>
              <w:rPr>
                <w:rFonts w:hint="eastAsia" w:ascii="宋体" w:hAnsi="宋体" w:eastAsia="宋体" w:cs="宋体"/>
                <w:color w:val="000000"/>
                <w:szCs w:val="20"/>
              </w:rPr>
            </w:pPr>
            <w:r>
              <w:rPr>
                <w:rFonts w:hint="eastAsia" w:ascii="宋体" w:hAnsi="宋体" w:eastAsia="宋体" w:cs="宋体"/>
                <w:color w:val="000000"/>
                <w:szCs w:val="20"/>
              </w:rPr>
              <w:t>1.1</w:t>
            </w:r>
          </w:p>
        </w:tc>
        <w:tc>
          <w:tcPr>
            <w:tcW w:w="1132" w:type="pct"/>
            <w:shd w:val="clear" w:color="000000" w:fill="FFFFFF"/>
            <w:vAlign w:val="center"/>
          </w:tcPr>
          <w:p>
            <w:pPr>
              <w:rPr>
                <w:rFonts w:hint="eastAsia" w:ascii="宋体" w:hAnsi="宋体" w:eastAsia="宋体" w:cs="宋体"/>
                <w:color w:val="000000"/>
                <w:szCs w:val="20"/>
              </w:rPr>
            </w:pPr>
            <w:r>
              <w:rPr>
                <w:rFonts w:hint="eastAsia" w:ascii="宋体" w:hAnsi="宋体" w:eastAsia="宋体" w:cs="宋体"/>
                <w:color w:val="000000"/>
                <w:szCs w:val="20"/>
                <w:lang w:eastAsia="zh-TW"/>
              </w:rPr>
              <w:t>建设投资</w:t>
            </w:r>
          </w:p>
        </w:tc>
        <w:tc>
          <w:tcPr>
            <w:tcW w:w="1035" w:type="pct"/>
            <w:shd w:val="clear" w:color="000000" w:fill="FFFFFF"/>
            <w:vAlign w:val="center"/>
          </w:tcPr>
          <w:p>
            <w:pPr>
              <w:jc w:val="right"/>
              <w:rPr>
                <w:rFonts w:hint="eastAsia" w:ascii="宋体" w:hAnsi="宋体" w:eastAsia="宋体" w:cs="宋体"/>
                <w:color w:val="000000"/>
                <w:szCs w:val="20"/>
              </w:rPr>
            </w:pPr>
            <w:r>
              <w:rPr>
                <w:rFonts w:hint="eastAsia" w:ascii="宋体" w:hAnsi="宋体" w:eastAsia="宋体" w:cs="宋体"/>
              </w:rPr>
              <w:t>1,000.00</w:t>
            </w:r>
          </w:p>
        </w:tc>
        <w:tc>
          <w:tcPr>
            <w:tcW w:w="1171" w:type="pct"/>
            <w:shd w:val="clear" w:color="000000" w:fill="FFFFFF"/>
            <w:vAlign w:val="center"/>
          </w:tcPr>
          <w:p>
            <w:pPr>
              <w:jc w:val="right"/>
              <w:rPr>
                <w:rFonts w:hint="eastAsia" w:ascii="宋体" w:hAnsi="宋体" w:eastAsia="宋体" w:cs="宋体"/>
                <w:b/>
                <w:bCs/>
                <w:color w:val="000000"/>
                <w:szCs w:val="20"/>
              </w:rPr>
            </w:pPr>
            <w:r>
              <w:rPr>
                <w:rFonts w:hint="eastAsia" w:ascii="宋体" w:hAnsi="宋体" w:eastAsia="宋体" w:cs="宋体"/>
              </w:rPr>
              <w:t>24,089.71</w:t>
            </w:r>
          </w:p>
        </w:tc>
        <w:tc>
          <w:tcPr>
            <w:tcW w:w="1171" w:type="pct"/>
            <w:shd w:val="clear" w:color="000000" w:fill="FFFFFF"/>
            <w:vAlign w:val="center"/>
          </w:tcPr>
          <w:p>
            <w:pPr>
              <w:jc w:val="right"/>
              <w:rPr>
                <w:rFonts w:hint="eastAsia" w:ascii="宋体" w:hAnsi="宋体" w:eastAsia="宋体" w:cs="宋体"/>
                <w:b/>
                <w:bCs/>
                <w:color w:val="000000"/>
                <w:szCs w:val="20"/>
              </w:rPr>
            </w:pPr>
            <w:r>
              <w:rPr>
                <w:rFonts w:hint="eastAsia" w:ascii="宋体" w:hAnsi="宋体" w:eastAsia="宋体" w:cs="宋体"/>
                <w:b/>
                <w:bCs/>
              </w:rPr>
              <w:t>25,089.71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76" w:hRule="atLeast"/>
          <w:jc w:val="center"/>
        </w:trPr>
        <w:tc>
          <w:tcPr>
            <w:tcW w:w="491" w:type="pct"/>
            <w:shd w:val="clear" w:color="000000" w:fill="FFFFFF"/>
            <w:vAlign w:val="center"/>
          </w:tcPr>
          <w:p>
            <w:pPr>
              <w:jc w:val="center"/>
              <w:rPr>
                <w:rFonts w:hint="eastAsia" w:ascii="宋体" w:hAnsi="宋体" w:eastAsia="宋体" w:cs="宋体"/>
                <w:color w:val="000000"/>
                <w:szCs w:val="20"/>
              </w:rPr>
            </w:pPr>
            <w:r>
              <w:rPr>
                <w:rFonts w:hint="eastAsia" w:ascii="宋体" w:hAnsi="宋体" w:eastAsia="宋体" w:cs="宋体"/>
                <w:color w:val="000000"/>
                <w:szCs w:val="20"/>
              </w:rPr>
              <w:t>1.2</w:t>
            </w:r>
          </w:p>
        </w:tc>
        <w:tc>
          <w:tcPr>
            <w:tcW w:w="1132" w:type="pct"/>
            <w:shd w:val="clear" w:color="000000" w:fill="FFFFFF"/>
            <w:vAlign w:val="center"/>
          </w:tcPr>
          <w:p>
            <w:pPr>
              <w:rPr>
                <w:rFonts w:hint="eastAsia" w:ascii="宋体" w:hAnsi="宋体" w:eastAsia="宋体" w:cs="宋体"/>
                <w:color w:val="000000"/>
                <w:szCs w:val="20"/>
              </w:rPr>
            </w:pPr>
            <w:r>
              <w:rPr>
                <w:rFonts w:hint="eastAsia" w:ascii="宋体" w:hAnsi="宋体" w:eastAsia="宋体" w:cs="宋体"/>
                <w:color w:val="000000"/>
                <w:szCs w:val="20"/>
                <w:lang w:eastAsia="zh-TW"/>
              </w:rPr>
              <w:t>建设期利息</w:t>
            </w:r>
          </w:p>
        </w:tc>
        <w:tc>
          <w:tcPr>
            <w:tcW w:w="1035" w:type="pct"/>
            <w:shd w:val="clear" w:color="000000" w:fill="FFFFFF"/>
            <w:vAlign w:val="center"/>
          </w:tcPr>
          <w:p>
            <w:pPr>
              <w:jc w:val="right"/>
              <w:rPr>
                <w:rFonts w:hint="eastAsia" w:ascii="宋体" w:hAnsi="宋体" w:eastAsia="宋体" w:cs="宋体"/>
                <w:color w:val="000000"/>
                <w:szCs w:val="20"/>
              </w:rPr>
            </w:pPr>
            <w:r>
              <w:rPr>
                <w:rFonts w:hint="eastAsia" w:ascii="宋体" w:hAnsi="宋体" w:eastAsia="宋体" w:cs="宋体"/>
              </w:rPr>
              <w:t>-</w:t>
            </w:r>
          </w:p>
        </w:tc>
        <w:tc>
          <w:tcPr>
            <w:tcW w:w="1171" w:type="pct"/>
            <w:shd w:val="clear" w:color="000000" w:fill="FFFFFF"/>
            <w:vAlign w:val="center"/>
          </w:tcPr>
          <w:p>
            <w:pPr>
              <w:jc w:val="right"/>
              <w:rPr>
                <w:rFonts w:hint="eastAsia" w:ascii="宋体" w:hAnsi="宋体" w:eastAsia="宋体" w:cs="宋体"/>
                <w:b/>
                <w:bCs/>
                <w:color w:val="000000"/>
                <w:szCs w:val="20"/>
              </w:rPr>
            </w:pPr>
            <w:r>
              <w:rPr>
                <w:rFonts w:hint="eastAsia" w:ascii="宋体" w:hAnsi="宋体" w:eastAsia="宋体" w:cs="宋体"/>
              </w:rPr>
              <w:t>8.80</w:t>
            </w:r>
          </w:p>
        </w:tc>
        <w:tc>
          <w:tcPr>
            <w:tcW w:w="1171" w:type="pct"/>
            <w:shd w:val="clear" w:color="000000" w:fill="FFFFFF"/>
            <w:vAlign w:val="center"/>
          </w:tcPr>
          <w:p>
            <w:pPr>
              <w:jc w:val="right"/>
              <w:rPr>
                <w:rFonts w:hint="eastAsia" w:ascii="宋体" w:hAnsi="宋体" w:eastAsia="宋体" w:cs="宋体"/>
                <w:b/>
                <w:bCs/>
                <w:color w:val="000000"/>
                <w:szCs w:val="20"/>
              </w:rPr>
            </w:pPr>
            <w:r>
              <w:rPr>
                <w:rFonts w:hint="eastAsia" w:ascii="宋体" w:hAnsi="宋体" w:eastAsia="宋体" w:cs="宋体"/>
                <w:b/>
                <w:bCs/>
              </w:rPr>
              <w:t>8.80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76" w:hRule="atLeast"/>
          <w:jc w:val="center"/>
        </w:trPr>
        <w:tc>
          <w:tcPr>
            <w:tcW w:w="491" w:type="pct"/>
            <w:shd w:val="clear" w:color="000000" w:fill="FFFFFF"/>
            <w:vAlign w:val="center"/>
          </w:tcPr>
          <w:p>
            <w:pPr>
              <w:jc w:val="center"/>
              <w:rPr>
                <w:rFonts w:hint="eastAsia" w:ascii="宋体" w:hAnsi="宋体" w:eastAsia="宋体" w:cs="宋体"/>
                <w:b/>
                <w:bCs/>
                <w:color w:val="000000"/>
                <w:szCs w:val="20"/>
              </w:rPr>
            </w:pPr>
            <w:r>
              <w:rPr>
                <w:rFonts w:hint="eastAsia" w:ascii="宋体" w:hAnsi="宋体" w:eastAsia="宋体" w:cs="宋体"/>
                <w:b/>
                <w:bCs/>
                <w:color w:val="000000"/>
                <w:szCs w:val="20"/>
              </w:rPr>
              <w:t>1.3</w:t>
            </w:r>
          </w:p>
        </w:tc>
        <w:tc>
          <w:tcPr>
            <w:tcW w:w="1132" w:type="pct"/>
            <w:shd w:val="clear" w:color="000000" w:fill="FFFFFF"/>
            <w:vAlign w:val="center"/>
          </w:tcPr>
          <w:p>
            <w:pPr>
              <w:rPr>
                <w:rFonts w:hint="eastAsia" w:ascii="宋体" w:hAnsi="宋体" w:eastAsia="宋体" w:cs="宋体"/>
                <w:b/>
                <w:bCs/>
                <w:color w:val="000000"/>
                <w:szCs w:val="20"/>
              </w:rPr>
            </w:pPr>
            <w:r>
              <w:rPr>
                <w:rFonts w:hint="eastAsia" w:ascii="宋体" w:hAnsi="宋体" w:eastAsia="宋体" w:cs="宋体"/>
                <w:b/>
                <w:bCs/>
                <w:color w:val="000000"/>
                <w:szCs w:val="20"/>
              </w:rPr>
              <w:t>合计</w:t>
            </w:r>
          </w:p>
        </w:tc>
        <w:tc>
          <w:tcPr>
            <w:tcW w:w="1035" w:type="pct"/>
            <w:shd w:val="clear" w:color="000000" w:fill="FFFFFF"/>
            <w:vAlign w:val="center"/>
          </w:tcPr>
          <w:p>
            <w:pPr>
              <w:jc w:val="right"/>
              <w:rPr>
                <w:rFonts w:hint="eastAsia" w:ascii="宋体" w:hAnsi="宋体" w:eastAsia="宋体" w:cs="宋体"/>
                <w:b/>
                <w:bCs/>
                <w:color w:val="000000"/>
                <w:szCs w:val="20"/>
              </w:rPr>
            </w:pPr>
            <w:r>
              <w:rPr>
                <w:rFonts w:hint="eastAsia" w:ascii="宋体" w:hAnsi="宋体" w:eastAsia="宋体" w:cs="宋体"/>
                <w:b/>
                <w:bCs/>
              </w:rPr>
              <w:t>1,000.00</w:t>
            </w:r>
          </w:p>
        </w:tc>
        <w:tc>
          <w:tcPr>
            <w:tcW w:w="1171" w:type="pct"/>
            <w:shd w:val="clear" w:color="000000" w:fill="FFFFFF"/>
            <w:vAlign w:val="center"/>
          </w:tcPr>
          <w:p>
            <w:pPr>
              <w:jc w:val="right"/>
              <w:rPr>
                <w:rFonts w:hint="eastAsia" w:ascii="宋体" w:hAnsi="宋体" w:eastAsia="宋体" w:cs="宋体"/>
                <w:b/>
                <w:bCs/>
                <w:color w:val="000000"/>
                <w:szCs w:val="20"/>
              </w:rPr>
            </w:pPr>
            <w:r>
              <w:rPr>
                <w:rFonts w:hint="eastAsia" w:ascii="宋体" w:hAnsi="宋体" w:eastAsia="宋体" w:cs="宋体"/>
                <w:b/>
                <w:bCs/>
              </w:rPr>
              <w:t>24,098.51</w:t>
            </w:r>
          </w:p>
        </w:tc>
        <w:tc>
          <w:tcPr>
            <w:tcW w:w="1171" w:type="pct"/>
            <w:shd w:val="clear" w:color="000000" w:fill="FFFFFF"/>
            <w:vAlign w:val="center"/>
          </w:tcPr>
          <w:p>
            <w:pPr>
              <w:jc w:val="right"/>
              <w:rPr>
                <w:rFonts w:hint="eastAsia" w:ascii="宋体" w:hAnsi="宋体" w:eastAsia="宋体" w:cs="宋体"/>
                <w:b/>
                <w:bCs/>
                <w:color w:val="000000"/>
                <w:szCs w:val="20"/>
              </w:rPr>
            </w:pPr>
            <w:r>
              <w:rPr>
                <w:rFonts w:hint="eastAsia" w:ascii="宋体" w:hAnsi="宋体" w:eastAsia="宋体" w:cs="宋体"/>
                <w:b/>
                <w:bCs/>
              </w:rPr>
              <w:t>25,098.51</w:t>
            </w:r>
          </w:p>
        </w:tc>
      </w:tr>
    </w:tbl>
    <w:p>
      <w:pPr>
        <w:ind w:firstLine="482" w:firstLineChars="200"/>
        <w:jc w:val="center"/>
        <w:rPr>
          <w:rFonts w:hint="eastAsia" w:ascii="宋体" w:hAnsi="宋体" w:eastAsia="宋体" w:cs="宋体"/>
          <w:b/>
          <w:sz w:val="24"/>
          <w:szCs w:val="24"/>
        </w:rPr>
      </w:pPr>
    </w:p>
    <w:p>
      <w:pPr>
        <w:spacing w:before="120" w:after="120" w:line="360" w:lineRule="auto"/>
        <w:ind w:firstLine="482" w:firstLineChars="200"/>
        <w:outlineLvl w:val="2"/>
        <w:rPr>
          <w:rFonts w:hint="eastAsia" w:ascii="宋体" w:hAnsi="宋体" w:eastAsia="宋体" w:cs="宋体"/>
          <w:b/>
          <w:bCs/>
          <w:color w:val="000000"/>
          <w:sz w:val="24"/>
          <w:szCs w:val="24"/>
        </w:rPr>
      </w:pPr>
      <w:bookmarkStart w:id="19" w:name="_Toc114818423"/>
      <w:bookmarkStart w:id="20" w:name="_Toc200555436"/>
      <w:bookmarkStart w:id="21" w:name="_Toc114818533"/>
      <w:r>
        <w:rPr>
          <w:rFonts w:hint="eastAsia" w:ascii="宋体" w:hAnsi="宋体" w:eastAsia="宋体" w:cs="宋体"/>
          <w:b/>
          <w:bCs/>
          <w:color w:val="000000"/>
          <w:sz w:val="24"/>
          <w:szCs w:val="24"/>
        </w:rPr>
        <w:t>2.资金筹措</w:t>
      </w:r>
      <w:bookmarkEnd w:id="19"/>
      <w:bookmarkEnd w:id="20"/>
      <w:bookmarkEnd w:id="21"/>
    </w:p>
    <w:p>
      <w:pPr>
        <w:spacing w:before="120" w:after="12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本项目累计资金筹措总额25,098.51万元，其中，自筹资金24,098.51万元，本期计划调增专项债券1,000.00万元。本项目的自筹资金，由财政资金统筹安排。</w:t>
      </w:r>
    </w:p>
    <w:p>
      <w:pPr>
        <w:spacing w:before="120" w:after="12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项目建设期各年度投资计划及资金筹措方案详见表4。</w:t>
      </w:r>
    </w:p>
    <w:p>
      <w:pPr>
        <w:ind w:firstLine="482" w:firstLineChars="200"/>
        <w:jc w:val="center"/>
        <w:rPr>
          <w:rFonts w:hint="eastAsia" w:ascii="宋体" w:hAnsi="宋体" w:eastAsia="宋体" w:cs="宋体"/>
          <w:b/>
          <w:sz w:val="24"/>
          <w:szCs w:val="24"/>
        </w:rPr>
      </w:pPr>
      <w:r>
        <w:rPr>
          <w:rFonts w:hint="eastAsia" w:ascii="宋体" w:hAnsi="宋体" w:eastAsia="宋体" w:cs="宋体"/>
          <w:b/>
          <w:sz w:val="24"/>
          <w:szCs w:val="24"/>
        </w:rPr>
        <w:t>表4 海口市江东新区园区配套基础设施配套项目（三期）投资计划及资金筹措表</w:t>
      </w:r>
    </w:p>
    <w:p>
      <w:pPr>
        <w:ind w:firstLine="360" w:firstLineChars="200"/>
        <w:jc w:val="right"/>
        <w:rPr>
          <w:rFonts w:hint="eastAsia" w:ascii="宋体" w:hAnsi="宋体" w:eastAsia="宋体" w:cs="宋体"/>
          <w:sz w:val="18"/>
          <w:szCs w:val="18"/>
        </w:rPr>
      </w:pPr>
      <w:r>
        <w:rPr>
          <w:rFonts w:hint="eastAsia" w:ascii="宋体" w:hAnsi="宋体" w:eastAsia="宋体" w:cs="宋体"/>
          <w:sz w:val="18"/>
          <w:szCs w:val="18"/>
        </w:rPr>
        <w:t>单位：人民币万元</w:t>
      </w:r>
    </w:p>
    <w:tbl>
      <w:tblPr>
        <w:tblStyle w:val="1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767"/>
        <w:gridCol w:w="2099"/>
        <w:gridCol w:w="1728"/>
        <w:gridCol w:w="1940"/>
        <w:gridCol w:w="1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 w:hRule="atLeast"/>
          <w:tblHeader/>
          <w:jc w:val="center"/>
        </w:trPr>
        <w:tc>
          <w:tcPr>
            <w:tcW w:w="459" w:type="pct"/>
            <w:shd w:val="clear" w:color="auto" w:fill="D8D8D8" w:themeFill="background1" w:themeFillShade="D9"/>
            <w:vAlign w:val="center"/>
          </w:tcPr>
          <w:p>
            <w:pPr>
              <w:jc w:val="center"/>
              <w:rPr>
                <w:rFonts w:hint="eastAsia" w:ascii="宋体" w:hAnsi="宋体" w:eastAsia="宋体" w:cs="宋体"/>
                <w:b/>
                <w:color w:val="000000"/>
                <w:szCs w:val="20"/>
              </w:rPr>
            </w:pPr>
            <w:r>
              <w:rPr>
                <w:rFonts w:hint="eastAsia" w:ascii="宋体" w:hAnsi="宋体" w:eastAsia="宋体" w:cs="宋体"/>
                <w:b/>
                <w:color w:val="000000"/>
                <w:szCs w:val="20"/>
                <w:lang w:eastAsia="zh-TW"/>
              </w:rPr>
              <w:t>序号</w:t>
            </w:r>
          </w:p>
        </w:tc>
        <w:tc>
          <w:tcPr>
            <w:tcW w:w="1256" w:type="pct"/>
            <w:shd w:val="clear" w:color="auto" w:fill="D8D8D8" w:themeFill="background1" w:themeFillShade="D9"/>
            <w:vAlign w:val="center"/>
          </w:tcPr>
          <w:p>
            <w:pPr>
              <w:jc w:val="center"/>
              <w:rPr>
                <w:rFonts w:hint="eastAsia" w:ascii="宋体" w:hAnsi="宋体" w:eastAsia="宋体" w:cs="宋体"/>
                <w:b/>
                <w:color w:val="000000"/>
                <w:szCs w:val="20"/>
              </w:rPr>
            </w:pPr>
            <w:r>
              <w:rPr>
                <w:rFonts w:hint="eastAsia" w:ascii="宋体" w:hAnsi="宋体" w:eastAsia="宋体" w:cs="宋体"/>
                <w:b/>
                <w:color w:val="000000"/>
                <w:szCs w:val="20"/>
                <w:lang w:eastAsia="zh-TW"/>
              </w:rPr>
              <w:t>项目名称</w:t>
            </w:r>
          </w:p>
        </w:tc>
        <w:tc>
          <w:tcPr>
            <w:tcW w:w="1034" w:type="pct"/>
            <w:shd w:val="clear" w:color="auto" w:fill="D8D8D8" w:themeFill="background1" w:themeFillShade="D9"/>
            <w:vAlign w:val="center"/>
          </w:tcPr>
          <w:p>
            <w:pPr>
              <w:jc w:val="center"/>
              <w:rPr>
                <w:rFonts w:hint="eastAsia" w:ascii="宋体" w:hAnsi="宋体" w:eastAsia="宋体" w:cs="宋体"/>
                <w:b/>
                <w:bCs/>
                <w:color w:val="000000"/>
                <w:szCs w:val="20"/>
              </w:rPr>
            </w:pPr>
            <w:r>
              <w:rPr>
                <w:rFonts w:hint="eastAsia" w:ascii="宋体" w:hAnsi="宋体" w:eastAsia="宋体" w:cs="宋体"/>
                <w:b/>
                <w:bCs/>
                <w:color w:val="000000"/>
                <w:szCs w:val="20"/>
              </w:rPr>
              <w:t>2024</w:t>
            </w:r>
          </w:p>
        </w:tc>
        <w:tc>
          <w:tcPr>
            <w:tcW w:w="1161" w:type="pct"/>
            <w:shd w:val="clear" w:color="auto" w:fill="D8D8D8" w:themeFill="background1" w:themeFillShade="D9"/>
          </w:tcPr>
          <w:p>
            <w:pPr>
              <w:jc w:val="center"/>
              <w:rPr>
                <w:rFonts w:hint="eastAsia" w:ascii="宋体" w:hAnsi="宋体" w:eastAsia="宋体" w:cs="宋体"/>
                <w:b/>
                <w:color w:val="000000"/>
                <w:szCs w:val="20"/>
              </w:rPr>
            </w:pPr>
            <w:r>
              <w:rPr>
                <w:rFonts w:hint="eastAsia" w:ascii="宋体" w:hAnsi="宋体" w:eastAsia="宋体" w:cs="宋体"/>
                <w:b/>
                <w:color w:val="000000"/>
                <w:szCs w:val="20"/>
              </w:rPr>
              <w:t>2025</w:t>
            </w:r>
          </w:p>
        </w:tc>
        <w:tc>
          <w:tcPr>
            <w:tcW w:w="1090" w:type="pct"/>
            <w:shd w:val="clear" w:color="auto" w:fill="D8D8D8" w:themeFill="background1" w:themeFillShade="D9"/>
            <w:vAlign w:val="center"/>
          </w:tcPr>
          <w:p>
            <w:pPr>
              <w:jc w:val="center"/>
              <w:rPr>
                <w:rFonts w:hint="eastAsia" w:ascii="宋体" w:hAnsi="宋体" w:eastAsia="宋体" w:cs="宋体"/>
                <w:b/>
                <w:color w:val="000000"/>
                <w:szCs w:val="20"/>
              </w:rPr>
            </w:pPr>
            <w:r>
              <w:rPr>
                <w:rFonts w:hint="eastAsia" w:ascii="宋体" w:hAnsi="宋体" w:eastAsia="宋体" w:cs="宋体"/>
                <w:b/>
                <w:color w:val="000000"/>
                <w:szCs w:val="20"/>
                <w:lang w:eastAsia="zh-TW"/>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 w:hRule="atLeast"/>
          <w:jc w:val="center"/>
        </w:trPr>
        <w:tc>
          <w:tcPr>
            <w:tcW w:w="459" w:type="pct"/>
            <w:shd w:val="clear" w:color="000000" w:fill="FFFFFF"/>
            <w:vAlign w:val="center"/>
          </w:tcPr>
          <w:p>
            <w:pPr>
              <w:jc w:val="center"/>
              <w:rPr>
                <w:rFonts w:hint="eastAsia" w:ascii="宋体" w:hAnsi="宋体" w:eastAsia="宋体" w:cs="宋体"/>
                <w:color w:val="000000"/>
                <w:szCs w:val="20"/>
              </w:rPr>
            </w:pPr>
            <w:r>
              <w:rPr>
                <w:rFonts w:hint="eastAsia" w:ascii="宋体" w:hAnsi="宋体" w:eastAsia="宋体" w:cs="宋体"/>
                <w:color w:val="000000"/>
                <w:szCs w:val="20"/>
                <w:lang w:eastAsia="zh-TW"/>
              </w:rPr>
              <w:t>1</w:t>
            </w:r>
          </w:p>
        </w:tc>
        <w:tc>
          <w:tcPr>
            <w:tcW w:w="1256" w:type="pct"/>
            <w:shd w:val="clear" w:color="000000" w:fill="FFFFFF"/>
            <w:vAlign w:val="center"/>
          </w:tcPr>
          <w:p>
            <w:pPr>
              <w:rPr>
                <w:rFonts w:hint="eastAsia" w:ascii="宋体" w:hAnsi="宋体" w:eastAsia="宋体" w:cs="宋体"/>
                <w:color w:val="000000"/>
                <w:szCs w:val="20"/>
              </w:rPr>
            </w:pPr>
            <w:r>
              <w:rPr>
                <w:rFonts w:hint="eastAsia" w:ascii="宋体" w:hAnsi="宋体" w:eastAsia="宋体" w:cs="宋体"/>
                <w:color w:val="000000"/>
                <w:szCs w:val="20"/>
                <w:lang w:eastAsia="zh-TW"/>
              </w:rPr>
              <w:t>自筹资金</w:t>
            </w:r>
          </w:p>
        </w:tc>
        <w:tc>
          <w:tcPr>
            <w:tcW w:w="1034" w:type="pct"/>
            <w:shd w:val="clear" w:color="000000" w:fill="FFFFFF"/>
            <w:vAlign w:val="center"/>
          </w:tcPr>
          <w:p>
            <w:pPr>
              <w:jc w:val="right"/>
              <w:rPr>
                <w:rFonts w:hint="eastAsia" w:ascii="宋体" w:hAnsi="宋体" w:eastAsia="宋体" w:cs="宋体"/>
                <w:color w:val="000000"/>
                <w:szCs w:val="20"/>
              </w:rPr>
            </w:pPr>
            <w:r>
              <w:rPr>
                <w:rFonts w:hint="eastAsia" w:ascii="宋体" w:hAnsi="宋体" w:eastAsia="宋体" w:cs="宋体"/>
              </w:rPr>
              <w:t>1,000.00</w:t>
            </w:r>
          </w:p>
        </w:tc>
        <w:tc>
          <w:tcPr>
            <w:tcW w:w="1161" w:type="pct"/>
            <w:shd w:val="clear" w:color="000000" w:fill="FFFFFF"/>
            <w:vAlign w:val="center"/>
          </w:tcPr>
          <w:p>
            <w:pPr>
              <w:jc w:val="right"/>
              <w:rPr>
                <w:rFonts w:hint="eastAsia" w:ascii="宋体" w:hAnsi="宋体" w:eastAsia="宋体" w:cs="宋体"/>
                <w:b/>
                <w:bCs/>
                <w:color w:val="000000"/>
                <w:szCs w:val="21"/>
              </w:rPr>
            </w:pPr>
            <w:r>
              <w:rPr>
                <w:rFonts w:hint="eastAsia" w:ascii="宋体" w:hAnsi="宋体" w:eastAsia="宋体" w:cs="宋体"/>
              </w:rPr>
              <w:t>23,098.51</w:t>
            </w:r>
          </w:p>
        </w:tc>
        <w:tc>
          <w:tcPr>
            <w:tcW w:w="1090" w:type="pct"/>
            <w:shd w:val="clear" w:color="000000" w:fill="FFFFFF"/>
            <w:vAlign w:val="center"/>
          </w:tcPr>
          <w:p>
            <w:pPr>
              <w:jc w:val="right"/>
              <w:rPr>
                <w:rFonts w:hint="eastAsia" w:ascii="宋体" w:hAnsi="宋体" w:eastAsia="宋体" w:cs="宋体"/>
                <w:b/>
                <w:bCs/>
                <w:color w:val="000000"/>
                <w:szCs w:val="20"/>
              </w:rPr>
            </w:pPr>
            <w:r>
              <w:rPr>
                <w:rFonts w:hint="eastAsia" w:ascii="宋体" w:hAnsi="宋体" w:eastAsia="宋体" w:cs="宋体"/>
                <w:b/>
                <w:bCs/>
              </w:rPr>
              <w:t>24,098.51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 w:hRule="atLeast"/>
          <w:jc w:val="center"/>
        </w:trPr>
        <w:tc>
          <w:tcPr>
            <w:tcW w:w="459" w:type="pct"/>
            <w:shd w:val="clear" w:color="000000" w:fill="FFFFFF"/>
            <w:vAlign w:val="center"/>
          </w:tcPr>
          <w:p>
            <w:pPr>
              <w:jc w:val="center"/>
              <w:rPr>
                <w:rFonts w:hint="eastAsia" w:ascii="宋体" w:hAnsi="宋体" w:eastAsia="宋体" w:cs="宋体"/>
                <w:color w:val="000000"/>
                <w:szCs w:val="20"/>
              </w:rPr>
            </w:pPr>
            <w:r>
              <w:rPr>
                <w:rFonts w:hint="eastAsia" w:ascii="宋体" w:hAnsi="宋体" w:eastAsia="宋体" w:cs="宋体"/>
                <w:color w:val="000000"/>
                <w:szCs w:val="20"/>
                <w:lang w:eastAsia="zh-TW"/>
              </w:rPr>
              <w:t>2</w:t>
            </w:r>
          </w:p>
        </w:tc>
        <w:tc>
          <w:tcPr>
            <w:tcW w:w="1256" w:type="pct"/>
            <w:shd w:val="clear" w:color="000000" w:fill="FFFFFF"/>
            <w:vAlign w:val="center"/>
          </w:tcPr>
          <w:p>
            <w:pPr>
              <w:rPr>
                <w:rFonts w:hint="eastAsia" w:ascii="宋体" w:hAnsi="宋体" w:eastAsia="宋体" w:cs="宋体"/>
                <w:color w:val="000000"/>
                <w:szCs w:val="20"/>
              </w:rPr>
            </w:pPr>
            <w:r>
              <w:rPr>
                <w:rFonts w:hint="eastAsia" w:ascii="宋体" w:hAnsi="宋体" w:eastAsia="宋体" w:cs="宋体"/>
                <w:color w:val="000000"/>
                <w:szCs w:val="20"/>
                <w:lang w:eastAsia="zh-TW"/>
              </w:rPr>
              <w:t>本期债券发行</w:t>
            </w:r>
          </w:p>
        </w:tc>
        <w:tc>
          <w:tcPr>
            <w:tcW w:w="1034" w:type="pct"/>
            <w:shd w:val="clear" w:color="000000" w:fill="FFFFFF"/>
            <w:vAlign w:val="center"/>
          </w:tcPr>
          <w:p>
            <w:pPr>
              <w:jc w:val="right"/>
              <w:rPr>
                <w:rFonts w:hint="eastAsia" w:ascii="宋体" w:hAnsi="宋体" w:eastAsia="宋体" w:cs="宋体"/>
                <w:color w:val="000000"/>
                <w:szCs w:val="20"/>
              </w:rPr>
            </w:pPr>
            <w:r>
              <w:rPr>
                <w:rFonts w:hint="eastAsia" w:ascii="宋体" w:hAnsi="宋体" w:eastAsia="宋体" w:cs="宋体"/>
              </w:rPr>
              <w:t>-</w:t>
            </w:r>
          </w:p>
        </w:tc>
        <w:tc>
          <w:tcPr>
            <w:tcW w:w="1161" w:type="pct"/>
            <w:shd w:val="clear" w:color="000000" w:fill="FFFFFF"/>
            <w:vAlign w:val="center"/>
          </w:tcPr>
          <w:p>
            <w:pPr>
              <w:jc w:val="right"/>
              <w:rPr>
                <w:rFonts w:hint="eastAsia" w:ascii="宋体" w:hAnsi="宋体" w:eastAsia="宋体" w:cs="宋体"/>
                <w:b/>
                <w:bCs/>
                <w:color w:val="000000"/>
                <w:szCs w:val="21"/>
              </w:rPr>
            </w:pPr>
            <w:r>
              <w:rPr>
                <w:rFonts w:hint="eastAsia" w:ascii="宋体" w:hAnsi="宋体" w:eastAsia="宋体" w:cs="宋体"/>
              </w:rPr>
              <w:t>1,000.00</w:t>
            </w:r>
          </w:p>
        </w:tc>
        <w:tc>
          <w:tcPr>
            <w:tcW w:w="1090" w:type="pct"/>
            <w:shd w:val="clear" w:color="000000" w:fill="FFFFFF"/>
            <w:vAlign w:val="center"/>
          </w:tcPr>
          <w:p>
            <w:pPr>
              <w:jc w:val="right"/>
              <w:rPr>
                <w:rFonts w:hint="eastAsia" w:ascii="宋体" w:hAnsi="宋体" w:eastAsia="宋体" w:cs="宋体"/>
                <w:b/>
                <w:bCs/>
                <w:color w:val="000000"/>
                <w:szCs w:val="20"/>
              </w:rPr>
            </w:pPr>
            <w:r>
              <w:rPr>
                <w:rFonts w:hint="eastAsia" w:ascii="宋体" w:hAnsi="宋体" w:eastAsia="宋体" w:cs="宋体"/>
                <w:b/>
                <w:bCs/>
              </w:rPr>
              <w:t>1,000.00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 w:hRule="atLeast"/>
          <w:jc w:val="center"/>
        </w:trPr>
        <w:tc>
          <w:tcPr>
            <w:tcW w:w="459" w:type="pct"/>
            <w:shd w:val="clear" w:color="000000" w:fill="FFFFFF"/>
            <w:vAlign w:val="center"/>
          </w:tcPr>
          <w:p>
            <w:pPr>
              <w:jc w:val="center"/>
              <w:rPr>
                <w:rFonts w:hint="eastAsia" w:ascii="宋体" w:hAnsi="宋体" w:eastAsia="宋体" w:cs="宋体"/>
                <w:b/>
                <w:color w:val="000000"/>
                <w:szCs w:val="20"/>
              </w:rPr>
            </w:pPr>
            <w:r>
              <w:rPr>
                <w:rFonts w:hint="eastAsia" w:ascii="宋体" w:hAnsi="宋体" w:eastAsia="宋体" w:cs="宋体"/>
                <w:b/>
                <w:color w:val="000000"/>
                <w:szCs w:val="20"/>
                <w:lang w:eastAsia="zh-TW"/>
              </w:rPr>
              <w:t>3</w:t>
            </w:r>
          </w:p>
        </w:tc>
        <w:tc>
          <w:tcPr>
            <w:tcW w:w="1256" w:type="pct"/>
            <w:shd w:val="clear" w:color="000000" w:fill="FFFFFF"/>
            <w:vAlign w:val="center"/>
          </w:tcPr>
          <w:p>
            <w:pPr>
              <w:rPr>
                <w:rFonts w:hint="eastAsia" w:ascii="宋体" w:hAnsi="宋体" w:eastAsia="宋体" w:cs="宋体"/>
                <w:b/>
                <w:color w:val="000000"/>
                <w:szCs w:val="20"/>
              </w:rPr>
            </w:pPr>
            <w:r>
              <w:rPr>
                <w:rFonts w:hint="eastAsia" w:ascii="宋体" w:hAnsi="宋体" w:eastAsia="宋体" w:cs="宋体"/>
                <w:b/>
                <w:color w:val="000000"/>
                <w:szCs w:val="20"/>
                <w:lang w:eastAsia="zh-TW"/>
              </w:rPr>
              <w:t>合计</w:t>
            </w:r>
          </w:p>
        </w:tc>
        <w:tc>
          <w:tcPr>
            <w:tcW w:w="1034" w:type="pct"/>
            <w:shd w:val="clear" w:color="000000" w:fill="FFFFFF"/>
            <w:vAlign w:val="center"/>
          </w:tcPr>
          <w:p>
            <w:pPr>
              <w:jc w:val="right"/>
              <w:rPr>
                <w:rFonts w:hint="eastAsia" w:ascii="宋体" w:hAnsi="宋体" w:eastAsia="宋体" w:cs="宋体"/>
                <w:b/>
                <w:bCs/>
                <w:color w:val="000000"/>
                <w:szCs w:val="20"/>
              </w:rPr>
            </w:pPr>
            <w:r>
              <w:rPr>
                <w:rFonts w:hint="eastAsia" w:ascii="宋体" w:hAnsi="宋体" w:eastAsia="宋体" w:cs="宋体"/>
                <w:b/>
                <w:bCs/>
              </w:rPr>
              <w:t>1,000.00</w:t>
            </w:r>
          </w:p>
        </w:tc>
        <w:tc>
          <w:tcPr>
            <w:tcW w:w="1161" w:type="pct"/>
            <w:shd w:val="clear" w:color="000000" w:fill="FFFFFF"/>
            <w:vAlign w:val="center"/>
          </w:tcPr>
          <w:p>
            <w:pPr>
              <w:jc w:val="right"/>
              <w:rPr>
                <w:rFonts w:hint="eastAsia" w:ascii="宋体" w:hAnsi="宋体" w:eastAsia="宋体" w:cs="宋体"/>
                <w:b/>
                <w:bCs/>
                <w:color w:val="000000"/>
                <w:szCs w:val="21"/>
              </w:rPr>
            </w:pPr>
            <w:r>
              <w:rPr>
                <w:rFonts w:hint="eastAsia" w:ascii="宋体" w:hAnsi="宋体" w:eastAsia="宋体" w:cs="宋体"/>
                <w:b/>
                <w:bCs/>
              </w:rPr>
              <w:t>24,098.51</w:t>
            </w:r>
          </w:p>
        </w:tc>
        <w:tc>
          <w:tcPr>
            <w:tcW w:w="1090" w:type="pct"/>
            <w:shd w:val="clear" w:color="000000" w:fill="FFFFFF"/>
            <w:vAlign w:val="center"/>
          </w:tcPr>
          <w:p>
            <w:pPr>
              <w:jc w:val="right"/>
              <w:rPr>
                <w:rFonts w:hint="eastAsia" w:ascii="宋体" w:hAnsi="宋体" w:eastAsia="宋体" w:cs="宋体"/>
                <w:b/>
                <w:bCs/>
                <w:color w:val="000000"/>
                <w:szCs w:val="20"/>
              </w:rPr>
            </w:pPr>
            <w:r>
              <w:rPr>
                <w:rFonts w:hint="eastAsia" w:ascii="宋体" w:hAnsi="宋体" w:eastAsia="宋体" w:cs="宋体"/>
                <w:b/>
                <w:bCs/>
              </w:rPr>
              <w:t>25,098.51</w:t>
            </w:r>
          </w:p>
        </w:tc>
      </w:tr>
    </w:tbl>
    <w:p>
      <w:pPr>
        <w:ind w:firstLine="360" w:firstLineChars="200"/>
        <w:jc w:val="right"/>
        <w:rPr>
          <w:rFonts w:hint="eastAsia" w:ascii="宋体" w:hAnsi="宋体" w:eastAsia="宋体" w:cs="宋体"/>
          <w:sz w:val="18"/>
          <w:szCs w:val="18"/>
        </w:rPr>
      </w:pPr>
    </w:p>
    <w:p>
      <w:pPr>
        <w:spacing w:before="120" w:after="12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基于以上投资计划、资金筹措安排，我们未发现本项目建设期内所需建设资金存在缺口的情况。</w:t>
      </w:r>
    </w:p>
    <w:p>
      <w:pPr>
        <w:spacing w:before="120" w:after="120" w:line="360" w:lineRule="auto"/>
        <w:ind w:firstLine="482" w:firstLineChars="200"/>
        <w:outlineLvl w:val="2"/>
        <w:rPr>
          <w:rFonts w:hint="eastAsia" w:ascii="宋体" w:hAnsi="宋体" w:eastAsia="宋体" w:cs="宋体"/>
          <w:b/>
          <w:bCs/>
          <w:color w:val="000000"/>
          <w:sz w:val="24"/>
          <w:szCs w:val="24"/>
        </w:rPr>
      </w:pPr>
      <w:bookmarkStart w:id="22" w:name="_Toc200555437"/>
      <w:bookmarkStart w:id="23" w:name="_Toc114818424"/>
      <w:bookmarkStart w:id="24" w:name="_Toc114818534"/>
      <w:r>
        <w:rPr>
          <w:rFonts w:hint="eastAsia" w:ascii="宋体" w:hAnsi="宋体" w:eastAsia="宋体" w:cs="宋体"/>
          <w:b/>
          <w:bCs/>
          <w:color w:val="000000"/>
          <w:sz w:val="24"/>
          <w:szCs w:val="24"/>
        </w:rPr>
        <w:t>3.资金覆盖情况</w:t>
      </w:r>
      <w:bookmarkEnd w:id="22"/>
      <w:bookmarkEnd w:id="23"/>
      <w:bookmarkEnd w:id="24"/>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本期计划调增专项债券1,000.00万元。本息覆盖倍数可达到1.36，根据项目收益与融资平衡分析结果显示，本债券存续期内还本付息资金充足。</w:t>
      </w:r>
    </w:p>
    <w:p>
      <w:pPr>
        <w:spacing w:line="360" w:lineRule="auto"/>
        <w:ind w:firstLine="480" w:firstLineChars="200"/>
        <w:rPr>
          <w:rFonts w:hint="eastAsia" w:ascii="宋体" w:hAnsi="宋体" w:eastAsia="宋体" w:cs="宋体"/>
          <w:b/>
          <w:sz w:val="24"/>
          <w:szCs w:val="24"/>
        </w:rPr>
      </w:pPr>
      <w:r>
        <w:rPr>
          <w:rFonts w:hint="eastAsia" w:ascii="宋体" w:hAnsi="宋体" w:eastAsia="宋体" w:cs="宋体"/>
          <w:color w:val="000000"/>
          <w:sz w:val="24"/>
          <w:szCs w:val="24"/>
        </w:rPr>
        <w:t>详见下表5、表6：</w:t>
      </w:r>
    </w:p>
    <w:p>
      <w:pPr>
        <w:ind w:firstLine="482" w:firstLineChars="200"/>
        <w:jc w:val="center"/>
        <w:rPr>
          <w:rFonts w:hint="eastAsia" w:ascii="宋体" w:hAnsi="宋体" w:eastAsia="宋体" w:cs="宋体"/>
          <w:b/>
          <w:sz w:val="24"/>
          <w:szCs w:val="24"/>
        </w:rPr>
      </w:pPr>
      <w:r>
        <w:rPr>
          <w:rFonts w:hint="eastAsia" w:ascii="宋体" w:hAnsi="宋体" w:eastAsia="宋体" w:cs="宋体"/>
          <w:b/>
          <w:sz w:val="24"/>
          <w:szCs w:val="24"/>
        </w:rPr>
        <w:t>表5海口市江东新区园区配套基础设施配套项目（三期）本息覆盖倍数表</w:t>
      </w:r>
    </w:p>
    <w:p>
      <w:pPr>
        <w:ind w:right="-907" w:rightChars="-432" w:firstLine="360" w:firstLineChars="200"/>
        <w:jc w:val="right"/>
        <w:rPr>
          <w:rFonts w:hint="eastAsia" w:ascii="宋体" w:hAnsi="宋体" w:eastAsia="宋体" w:cs="宋体"/>
          <w:b/>
          <w:sz w:val="24"/>
          <w:szCs w:val="24"/>
        </w:rPr>
      </w:pPr>
      <w:r>
        <w:rPr>
          <w:rFonts w:hint="eastAsia" w:ascii="宋体" w:hAnsi="宋体" w:eastAsia="宋体" w:cs="宋体"/>
          <w:sz w:val="18"/>
          <w:szCs w:val="18"/>
        </w:rPr>
        <w:t>单位：人民币万元</w:t>
      </w:r>
    </w:p>
    <w:tbl>
      <w:tblPr>
        <w:tblStyle w:val="19"/>
        <w:tblW w:w="6478" w:type="pct"/>
        <w:jc w:val="center"/>
        <w:tblLayout w:type="fixed"/>
        <w:tblCellMar>
          <w:top w:w="0" w:type="dxa"/>
          <w:left w:w="0" w:type="dxa"/>
          <w:bottom w:w="0" w:type="dxa"/>
          <w:right w:w="0" w:type="dxa"/>
        </w:tblCellMar>
      </w:tblPr>
      <w:tblGrid>
        <w:gridCol w:w="2146"/>
        <w:gridCol w:w="1372"/>
        <w:gridCol w:w="1400"/>
        <w:gridCol w:w="1021"/>
        <w:gridCol w:w="1210"/>
        <w:gridCol w:w="1208"/>
        <w:gridCol w:w="1208"/>
        <w:gridCol w:w="1201"/>
      </w:tblGrid>
      <w:tr>
        <w:tblPrEx>
          <w:tblCellMar>
            <w:top w:w="0" w:type="dxa"/>
            <w:left w:w="0" w:type="dxa"/>
            <w:bottom w:w="0" w:type="dxa"/>
            <w:right w:w="0" w:type="dxa"/>
          </w:tblCellMar>
        </w:tblPrEx>
        <w:trPr>
          <w:trHeight w:val="170" w:hRule="atLeast"/>
          <w:tblHeader/>
          <w:jc w:val="center"/>
        </w:trPr>
        <w:tc>
          <w:tcPr>
            <w:tcW w:w="997" w:type="pct"/>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jc w:val="center"/>
              <w:rPr>
                <w:rFonts w:hint="eastAsia" w:ascii="宋体" w:hAnsi="宋体" w:eastAsia="宋体" w:cs="Arial Unicode MS"/>
                <w:b/>
                <w:color w:val="000000"/>
                <w:szCs w:val="20"/>
              </w:rPr>
            </w:pPr>
            <w:r>
              <w:rPr>
                <w:rFonts w:hint="eastAsia" w:ascii="宋体" w:hAnsi="宋体" w:eastAsia="宋体" w:cs="Arial Unicode MS"/>
                <w:b/>
                <w:color w:val="000000"/>
                <w:szCs w:val="20"/>
              </w:rPr>
              <w:t>项目</w:t>
            </w:r>
          </w:p>
        </w:tc>
        <w:tc>
          <w:tcPr>
            <w:tcW w:w="637" w:type="pct"/>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jc w:val="center"/>
              <w:rPr>
                <w:rFonts w:hint="eastAsia" w:ascii="宋体" w:hAnsi="宋体" w:eastAsia="宋体" w:cs="Arial Unicode MS"/>
                <w:b/>
                <w:color w:val="000000"/>
                <w:szCs w:val="20"/>
              </w:rPr>
            </w:pPr>
            <w:r>
              <w:rPr>
                <w:rFonts w:hint="eastAsia" w:ascii="宋体" w:hAnsi="宋体" w:eastAsia="宋体" w:cs="Arial Unicode MS"/>
                <w:b/>
                <w:color w:val="000000"/>
                <w:szCs w:val="20"/>
              </w:rPr>
              <w:t>调整后项目总投资</w:t>
            </w:r>
          </w:p>
        </w:tc>
        <w:tc>
          <w:tcPr>
            <w:tcW w:w="650" w:type="pct"/>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jc w:val="center"/>
              <w:rPr>
                <w:rFonts w:hint="eastAsia" w:ascii="宋体" w:hAnsi="宋体" w:eastAsia="宋体" w:cs="Arial Unicode MS"/>
                <w:b/>
                <w:color w:val="000000"/>
                <w:szCs w:val="20"/>
              </w:rPr>
            </w:pPr>
            <w:r>
              <w:rPr>
                <w:rFonts w:hint="eastAsia" w:ascii="宋体" w:hAnsi="宋体" w:eastAsia="宋体" w:cs="Arial Unicode MS"/>
                <w:b/>
                <w:color w:val="000000"/>
                <w:szCs w:val="20"/>
              </w:rPr>
              <w:t>用于资金平衡的项目收益</w:t>
            </w:r>
          </w:p>
        </w:tc>
        <w:tc>
          <w:tcPr>
            <w:tcW w:w="474" w:type="pct"/>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jc w:val="center"/>
              <w:rPr>
                <w:rFonts w:hint="eastAsia" w:ascii="宋体" w:hAnsi="宋体" w:eastAsia="宋体" w:cs="Arial Unicode MS"/>
                <w:b/>
                <w:color w:val="000000"/>
                <w:szCs w:val="20"/>
              </w:rPr>
            </w:pPr>
            <w:r>
              <w:rPr>
                <w:rFonts w:hint="eastAsia" w:ascii="宋体" w:hAnsi="宋体" w:eastAsia="宋体" w:cs="Arial Unicode MS"/>
                <w:b/>
                <w:color w:val="000000"/>
                <w:szCs w:val="20"/>
              </w:rPr>
              <w:t>期末项目累计现金结存额</w:t>
            </w:r>
          </w:p>
        </w:tc>
        <w:tc>
          <w:tcPr>
            <w:tcW w:w="562" w:type="pct"/>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jc w:val="center"/>
              <w:rPr>
                <w:rFonts w:hint="eastAsia" w:ascii="宋体" w:hAnsi="宋体" w:eastAsia="宋体" w:cs="Arial Unicode MS"/>
                <w:b/>
                <w:color w:val="000000"/>
                <w:szCs w:val="20"/>
              </w:rPr>
            </w:pPr>
            <w:r>
              <w:rPr>
                <w:rFonts w:hint="eastAsia" w:ascii="宋体" w:hAnsi="宋体" w:eastAsia="宋体" w:cs="Arial Unicode MS"/>
                <w:b/>
                <w:color w:val="000000"/>
                <w:szCs w:val="20"/>
              </w:rPr>
              <w:t>本期调增额度</w:t>
            </w:r>
          </w:p>
        </w:tc>
        <w:tc>
          <w:tcPr>
            <w:tcW w:w="561" w:type="pct"/>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jc w:val="center"/>
              <w:rPr>
                <w:rFonts w:hint="eastAsia" w:ascii="宋体" w:hAnsi="宋体" w:eastAsia="宋体" w:cs="Arial Unicode MS"/>
                <w:b/>
                <w:color w:val="000000"/>
                <w:szCs w:val="20"/>
              </w:rPr>
            </w:pPr>
            <w:r>
              <w:rPr>
                <w:rFonts w:hint="eastAsia" w:ascii="宋体" w:hAnsi="宋体" w:eastAsia="宋体" w:cs="Arial Unicode MS"/>
                <w:b/>
                <w:color w:val="000000"/>
                <w:szCs w:val="20"/>
              </w:rPr>
              <w:t>债券本息合计</w:t>
            </w:r>
          </w:p>
        </w:tc>
        <w:tc>
          <w:tcPr>
            <w:tcW w:w="561" w:type="pct"/>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jc w:val="center"/>
              <w:rPr>
                <w:rFonts w:hint="eastAsia" w:ascii="宋体" w:hAnsi="宋体" w:eastAsia="宋体" w:cs="Arial Unicode MS"/>
                <w:b/>
                <w:color w:val="000000"/>
                <w:szCs w:val="20"/>
              </w:rPr>
            </w:pPr>
            <w:r>
              <w:rPr>
                <w:rFonts w:hint="eastAsia" w:ascii="宋体" w:hAnsi="宋体" w:eastAsia="宋体" w:cs="Arial Unicode MS"/>
                <w:b/>
                <w:color w:val="000000"/>
                <w:szCs w:val="20"/>
              </w:rPr>
              <w:t>本息覆盖率</w:t>
            </w:r>
            <w:r>
              <w:rPr>
                <w:rFonts w:ascii="宋体" w:hAnsi="宋体" w:eastAsia="宋体" w:cs="Arial Unicode MS"/>
                <w:b/>
                <w:color w:val="000000"/>
                <w:szCs w:val="20"/>
                <w:vertAlign w:val="superscript"/>
              </w:rPr>
              <w:footnoteReference w:id="0"/>
            </w:r>
          </w:p>
        </w:tc>
        <w:tc>
          <w:tcPr>
            <w:tcW w:w="558" w:type="pct"/>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jc w:val="center"/>
              <w:rPr>
                <w:rFonts w:hint="eastAsia" w:ascii="宋体" w:hAnsi="宋体" w:eastAsia="宋体" w:cs="Arial Unicode MS"/>
                <w:b/>
                <w:color w:val="000000"/>
                <w:szCs w:val="20"/>
              </w:rPr>
            </w:pPr>
            <w:r>
              <w:rPr>
                <w:rFonts w:hint="eastAsia" w:ascii="宋体" w:hAnsi="宋体" w:eastAsia="宋体" w:cs="Arial Unicode MS"/>
                <w:b/>
                <w:color w:val="000000"/>
                <w:szCs w:val="20"/>
              </w:rPr>
              <w:t>本息覆盖倍数</w:t>
            </w:r>
            <w:r>
              <w:rPr>
                <w:rFonts w:ascii="宋体" w:hAnsi="宋体" w:eastAsia="宋体" w:cs="Arial Unicode MS"/>
                <w:b/>
                <w:color w:val="000000"/>
                <w:szCs w:val="20"/>
                <w:vertAlign w:val="superscript"/>
              </w:rPr>
              <w:footnoteReference w:id="1"/>
            </w:r>
          </w:p>
        </w:tc>
      </w:tr>
      <w:tr>
        <w:tblPrEx>
          <w:tblCellMar>
            <w:top w:w="0" w:type="dxa"/>
            <w:left w:w="0" w:type="dxa"/>
            <w:bottom w:w="0" w:type="dxa"/>
            <w:right w:w="0" w:type="dxa"/>
          </w:tblCellMar>
        </w:tblPrEx>
        <w:trPr>
          <w:trHeight w:val="170" w:hRule="atLeast"/>
          <w:jc w:val="center"/>
        </w:trPr>
        <w:tc>
          <w:tcPr>
            <w:tcW w:w="997" w:type="pct"/>
            <w:tcBorders>
              <w:top w:val="nil"/>
              <w:left w:val="single" w:color="auto" w:sz="4" w:space="0"/>
              <w:bottom w:val="single" w:color="auto" w:sz="4" w:space="0"/>
              <w:right w:val="single" w:color="auto" w:sz="4" w:space="0"/>
            </w:tcBorders>
            <w:shd w:val="clear" w:color="auto" w:fill="auto"/>
            <w:noWrap/>
            <w:vAlign w:val="center"/>
          </w:tcPr>
          <w:p>
            <w:pPr>
              <w:rPr>
                <w:rFonts w:hint="eastAsia" w:ascii="宋体" w:hAnsi="宋体" w:eastAsia="宋体" w:cs="Arial Unicode MS"/>
                <w:color w:val="000000"/>
                <w:szCs w:val="20"/>
              </w:rPr>
            </w:pPr>
            <w:r>
              <w:rPr>
                <w:rFonts w:hint="eastAsia" w:ascii="宋体" w:hAnsi="宋体" w:eastAsia="宋体" w:cs="Arial Unicode MS"/>
                <w:color w:val="000000"/>
                <w:szCs w:val="20"/>
              </w:rPr>
              <w:t>海口市江东新区园区配套基础设施配套项目（三期）</w:t>
            </w:r>
          </w:p>
        </w:tc>
        <w:tc>
          <w:tcPr>
            <w:tcW w:w="637" w:type="pct"/>
            <w:tcBorders>
              <w:top w:val="nil"/>
              <w:left w:val="nil"/>
              <w:bottom w:val="single" w:color="auto" w:sz="4" w:space="0"/>
              <w:right w:val="single" w:color="auto" w:sz="4" w:space="0"/>
            </w:tcBorders>
            <w:shd w:val="clear" w:color="auto" w:fill="auto"/>
            <w:noWrap/>
            <w:vAlign w:val="center"/>
          </w:tcPr>
          <w:p>
            <w:pPr>
              <w:jc w:val="right"/>
              <w:rPr>
                <w:rFonts w:hint="eastAsia" w:ascii="宋体" w:hAnsi="宋体" w:eastAsia="宋体" w:cs="Arial Unicode MS"/>
                <w:color w:val="000000"/>
                <w:szCs w:val="20"/>
              </w:rPr>
            </w:pPr>
            <w:r>
              <w:rPr>
                <w:rFonts w:ascii="宋体" w:hAnsi="宋体" w:eastAsia="宋体"/>
              </w:rPr>
              <w:t>25,098.51</w:t>
            </w:r>
          </w:p>
        </w:tc>
        <w:tc>
          <w:tcPr>
            <w:tcW w:w="650" w:type="pct"/>
            <w:tcBorders>
              <w:top w:val="nil"/>
              <w:left w:val="nil"/>
              <w:bottom w:val="single" w:color="auto" w:sz="4" w:space="0"/>
              <w:right w:val="single" w:color="auto" w:sz="4" w:space="0"/>
            </w:tcBorders>
            <w:shd w:val="clear" w:color="auto" w:fill="auto"/>
            <w:noWrap/>
            <w:vAlign w:val="center"/>
          </w:tcPr>
          <w:p>
            <w:pPr>
              <w:jc w:val="right"/>
              <w:rPr>
                <w:rFonts w:hint="eastAsia" w:ascii="宋体" w:hAnsi="宋体" w:eastAsia="宋体"/>
              </w:rPr>
            </w:pPr>
            <w:r>
              <w:rPr>
                <w:rFonts w:ascii="宋体" w:hAnsi="宋体" w:eastAsia="宋体"/>
              </w:rPr>
              <w:t>1,603.90</w:t>
            </w:r>
          </w:p>
        </w:tc>
        <w:tc>
          <w:tcPr>
            <w:tcW w:w="474" w:type="pct"/>
            <w:tcBorders>
              <w:top w:val="nil"/>
              <w:left w:val="nil"/>
              <w:bottom w:val="single" w:color="auto" w:sz="4" w:space="0"/>
              <w:right w:val="single" w:color="auto" w:sz="4" w:space="0"/>
            </w:tcBorders>
            <w:shd w:val="clear" w:color="auto" w:fill="auto"/>
            <w:noWrap/>
            <w:vAlign w:val="center"/>
          </w:tcPr>
          <w:p>
            <w:pPr>
              <w:jc w:val="right"/>
              <w:rPr>
                <w:rFonts w:hint="eastAsia" w:ascii="宋体" w:hAnsi="宋体" w:eastAsia="宋体"/>
              </w:rPr>
            </w:pPr>
            <w:r>
              <w:rPr>
                <w:rFonts w:ascii="宋体" w:hAnsi="宋体" w:eastAsia="宋体"/>
              </w:rPr>
              <w:t>436.70</w:t>
            </w:r>
          </w:p>
        </w:tc>
        <w:tc>
          <w:tcPr>
            <w:tcW w:w="562" w:type="pct"/>
            <w:tcBorders>
              <w:top w:val="nil"/>
              <w:left w:val="nil"/>
              <w:bottom w:val="single" w:color="auto" w:sz="4" w:space="0"/>
              <w:right w:val="single" w:color="auto" w:sz="4" w:space="0"/>
            </w:tcBorders>
            <w:shd w:val="clear" w:color="auto" w:fill="auto"/>
            <w:noWrap/>
            <w:vAlign w:val="center"/>
          </w:tcPr>
          <w:p>
            <w:pPr>
              <w:jc w:val="right"/>
              <w:rPr>
                <w:rFonts w:hint="eastAsia" w:ascii="宋体" w:hAnsi="宋体" w:eastAsia="宋体"/>
              </w:rPr>
            </w:pPr>
            <w:r>
              <w:rPr>
                <w:rFonts w:ascii="宋体" w:hAnsi="宋体" w:eastAsia="宋体"/>
              </w:rPr>
              <w:t>1,000.00</w:t>
            </w:r>
          </w:p>
        </w:tc>
        <w:tc>
          <w:tcPr>
            <w:tcW w:w="561" w:type="pct"/>
            <w:tcBorders>
              <w:top w:val="nil"/>
              <w:left w:val="nil"/>
              <w:bottom w:val="single" w:color="auto" w:sz="4" w:space="0"/>
              <w:right w:val="single" w:color="auto" w:sz="4" w:space="0"/>
            </w:tcBorders>
            <w:shd w:val="clear" w:color="auto" w:fill="auto"/>
            <w:noWrap/>
            <w:vAlign w:val="center"/>
          </w:tcPr>
          <w:p>
            <w:pPr>
              <w:jc w:val="right"/>
              <w:rPr>
                <w:rFonts w:hint="eastAsia" w:ascii="宋体" w:hAnsi="宋体" w:eastAsia="宋体"/>
              </w:rPr>
            </w:pPr>
            <w:r>
              <w:rPr>
                <w:rFonts w:ascii="宋体" w:hAnsi="宋体" w:eastAsia="宋体"/>
              </w:rPr>
              <w:t>1,176.00</w:t>
            </w:r>
          </w:p>
        </w:tc>
        <w:tc>
          <w:tcPr>
            <w:tcW w:w="561" w:type="pct"/>
            <w:tcBorders>
              <w:top w:val="nil"/>
              <w:left w:val="nil"/>
              <w:bottom w:val="single" w:color="auto" w:sz="4" w:space="0"/>
              <w:right w:val="single" w:color="auto" w:sz="4" w:space="0"/>
            </w:tcBorders>
            <w:shd w:val="clear" w:color="auto" w:fill="auto"/>
            <w:noWrap/>
            <w:vAlign w:val="center"/>
          </w:tcPr>
          <w:p>
            <w:pPr>
              <w:jc w:val="right"/>
              <w:rPr>
                <w:rFonts w:hint="eastAsia" w:ascii="宋体" w:hAnsi="宋体" w:eastAsia="宋体"/>
              </w:rPr>
            </w:pPr>
            <w:r>
              <w:rPr>
                <w:rFonts w:ascii="宋体" w:hAnsi="宋体" w:eastAsia="宋体"/>
              </w:rPr>
              <w:t>1.37</w:t>
            </w:r>
          </w:p>
        </w:tc>
        <w:tc>
          <w:tcPr>
            <w:tcW w:w="558" w:type="pct"/>
            <w:tcBorders>
              <w:top w:val="nil"/>
              <w:left w:val="nil"/>
              <w:bottom w:val="single" w:color="auto" w:sz="4" w:space="0"/>
              <w:right w:val="single" w:color="auto" w:sz="4" w:space="0"/>
            </w:tcBorders>
            <w:shd w:val="clear" w:color="auto" w:fill="auto"/>
            <w:noWrap/>
            <w:vAlign w:val="center"/>
          </w:tcPr>
          <w:p>
            <w:pPr>
              <w:jc w:val="right"/>
              <w:rPr>
                <w:rFonts w:hint="eastAsia" w:ascii="宋体" w:hAnsi="宋体" w:eastAsia="宋体"/>
              </w:rPr>
            </w:pPr>
            <w:r>
              <w:rPr>
                <w:rFonts w:ascii="宋体" w:hAnsi="宋体" w:eastAsia="宋体"/>
              </w:rPr>
              <w:t>1.36</w:t>
            </w:r>
          </w:p>
        </w:tc>
      </w:tr>
    </w:tbl>
    <w:p>
      <w:pPr>
        <w:jc w:val="center"/>
        <w:rPr>
          <w:rFonts w:hint="eastAsia" w:ascii="宋体" w:hAnsi="宋体" w:eastAsia="宋体" w:cs="宋体"/>
          <w:b/>
          <w:sz w:val="24"/>
          <w:szCs w:val="24"/>
        </w:rPr>
      </w:pPr>
    </w:p>
    <w:p>
      <w:pPr>
        <w:ind w:firstLine="482" w:firstLineChars="200"/>
        <w:jc w:val="center"/>
        <w:rPr>
          <w:rFonts w:hint="eastAsia" w:ascii="宋体" w:hAnsi="宋体" w:eastAsia="宋体" w:cs="宋体"/>
          <w:b/>
          <w:sz w:val="24"/>
          <w:szCs w:val="24"/>
        </w:rPr>
      </w:pPr>
    </w:p>
    <w:p>
      <w:pPr>
        <w:ind w:firstLine="482" w:firstLineChars="200"/>
        <w:jc w:val="center"/>
        <w:rPr>
          <w:rFonts w:hint="eastAsia" w:ascii="宋体" w:hAnsi="宋体" w:eastAsia="宋体" w:cs="宋体"/>
          <w:b/>
          <w:sz w:val="24"/>
          <w:szCs w:val="24"/>
        </w:rPr>
      </w:pPr>
      <w:r>
        <w:rPr>
          <w:rFonts w:hint="eastAsia" w:ascii="宋体" w:hAnsi="宋体" w:eastAsia="宋体" w:cs="宋体"/>
          <w:b/>
          <w:sz w:val="24"/>
          <w:szCs w:val="24"/>
        </w:rPr>
        <w:t>表6 海口市江东新区园区配套基础设施配套项目（三期）现金流模拟测算表</w:t>
      </w:r>
    </w:p>
    <w:p>
      <w:pPr>
        <w:ind w:firstLine="360" w:firstLineChars="200"/>
        <w:jc w:val="right"/>
        <w:rPr>
          <w:rFonts w:hint="eastAsia" w:ascii="宋体" w:hAnsi="宋体" w:eastAsia="宋体" w:cs="宋体"/>
          <w:sz w:val="18"/>
          <w:szCs w:val="18"/>
        </w:rPr>
      </w:pPr>
      <w:r>
        <w:rPr>
          <w:rFonts w:hint="eastAsia" w:ascii="宋体" w:hAnsi="宋体" w:eastAsia="宋体" w:cs="宋体"/>
          <w:sz w:val="18"/>
          <w:szCs w:val="18"/>
        </w:rPr>
        <w:t>单位：人民币万元</w:t>
      </w:r>
    </w:p>
    <w:tbl>
      <w:tblPr>
        <w:tblStyle w:val="1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2838"/>
        <w:gridCol w:w="1486"/>
        <w:gridCol w:w="1344"/>
        <w:gridCol w:w="1344"/>
        <w:gridCol w:w="13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tblHeader/>
          <w:jc w:val="center"/>
        </w:trPr>
        <w:tc>
          <w:tcPr>
            <w:tcW w:w="1699" w:type="pct"/>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jc w:val="cente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年度</w:t>
            </w:r>
          </w:p>
        </w:tc>
        <w:tc>
          <w:tcPr>
            <w:tcW w:w="889" w:type="pct"/>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jc w:val="cente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2024</w:t>
            </w:r>
          </w:p>
        </w:tc>
        <w:tc>
          <w:tcPr>
            <w:tcW w:w="804" w:type="pct"/>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jc w:val="cente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2025</w:t>
            </w:r>
          </w:p>
        </w:tc>
        <w:tc>
          <w:tcPr>
            <w:tcW w:w="804" w:type="pct"/>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jc w:val="cente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2026</w:t>
            </w:r>
          </w:p>
        </w:tc>
        <w:tc>
          <w:tcPr>
            <w:tcW w:w="804" w:type="pct"/>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jc w:val="cente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2027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99"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现金流入</w:t>
            </w:r>
          </w:p>
        </w:tc>
        <w:tc>
          <w:tcPr>
            <w:tcW w:w="88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p>
        </w:tc>
        <w:tc>
          <w:tcPr>
            <w:tcW w:w="80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p>
        </w:tc>
        <w:tc>
          <w:tcPr>
            <w:tcW w:w="80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p>
        </w:tc>
        <w:tc>
          <w:tcPr>
            <w:tcW w:w="80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99"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rPr>
              <w:t>自筹资金流入</w:t>
            </w:r>
          </w:p>
        </w:tc>
        <w:tc>
          <w:tcPr>
            <w:tcW w:w="88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asciiTheme="minorEastAsia" w:hAnsiTheme="minorEastAsia" w:eastAsiaTheme="minorEastAsia"/>
              </w:rPr>
              <w:t>1,000.00</w:t>
            </w:r>
          </w:p>
        </w:tc>
        <w:tc>
          <w:tcPr>
            <w:tcW w:w="80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asciiTheme="minorEastAsia" w:hAnsiTheme="minorEastAsia" w:eastAsiaTheme="minorEastAsia"/>
              </w:rPr>
              <w:t>23,098.51</w:t>
            </w:r>
          </w:p>
        </w:tc>
        <w:tc>
          <w:tcPr>
            <w:tcW w:w="80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asciiTheme="minorEastAsia" w:hAnsiTheme="minorEastAsia" w:eastAsiaTheme="minorEastAsia"/>
              </w:rPr>
              <w:t>-</w:t>
            </w:r>
          </w:p>
        </w:tc>
        <w:tc>
          <w:tcPr>
            <w:tcW w:w="80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asciiTheme="minorEastAsia" w:hAnsiTheme="minorEastAsia" w:eastAsiaTheme="minor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99"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rPr>
              <w:t>本期债券资金流入</w:t>
            </w:r>
          </w:p>
        </w:tc>
        <w:tc>
          <w:tcPr>
            <w:tcW w:w="88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asciiTheme="minorEastAsia" w:hAnsiTheme="minorEastAsia" w:eastAsiaTheme="minorEastAsia"/>
              </w:rPr>
              <w:t>-</w:t>
            </w:r>
          </w:p>
        </w:tc>
        <w:tc>
          <w:tcPr>
            <w:tcW w:w="80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asciiTheme="minorEastAsia" w:hAnsiTheme="minorEastAsia" w:eastAsiaTheme="minorEastAsia"/>
              </w:rPr>
              <w:t>1,000.00</w:t>
            </w:r>
          </w:p>
        </w:tc>
        <w:tc>
          <w:tcPr>
            <w:tcW w:w="80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asciiTheme="minorEastAsia" w:hAnsiTheme="minorEastAsia" w:eastAsiaTheme="minorEastAsia"/>
              </w:rPr>
              <w:t>-</w:t>
            </w:r>
          </w:p>
        </w:tc>
        <w:tc>
          <w:tcPr>
            <w:tcW w:w="80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asciiTheme="minorEastAsia" w:hAnsiTheme="minorEastAsia" w:eastAsiaTheme="minor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99"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rPr>
              <w:t>运营期现金流入</w:t>
            </w:r>
          </w:p>
        </w:tc>
        <w:tc>
          <w:tcPr>
            <w:tcW w:w="88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asciiTheme="minorEastAsia" w:hAnsiTheme="minorEastAsia" w:eastAsiaTheme="minorEastAsia"/>
              </w:rPr>
              <w:t>-</w:t>
            </w:r>
          </w:p>
        </w:tc>
        <w:tc>
          <w:tcPr>
            <w:tcW w:w="80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asciiTheme="minorEastAsia" w:hAnsiTheme="minorEastAsia" w:eastAsiaTheme="minorEastAsia"/>
              </w:rPr>
              <w:t>-</w:t>
            </w:r>
          </w:p>
        </w:tc>
        <w:tc>
          <w:tcPr>
            <w:tcW w:w="80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asciiTheme="minorEastAsia" w:hAnsiTheme="minorEastAsia" w:eastAsiaTheme="minorEastAsia"/>
              </w:rPr>
              <w:t>361.80</w:t>
            </w:r>
          </w:p>
        </w:tc>
        <w:tc>
          <w:tcPr>
            <w:tcW w:w="80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asciiTheme="minorEastAsia" w:hAnsiTheme="minorEastAsia" w:eastAsiaTheme="minorEastAsia"/>
              </w:rPr>
              <w:t>199.80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99"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现金流入总额</w:t>
            </w:r>
          </w:p>
        </w:tc>
        <w:tc>
          <w:tcPr>
            <w:tcW w:w="88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asciiTheme="minorEastAsia" w:hAnsiTheme="minorEastAsia" w:eastAsiaTheme="minorEastAsia"/>
                <w:b/>
                <w:bCs/>
              </w:rPr>
              <w:t>1,000.00</w:t>
            </w:r>
          </w:p>
        </w:tc>
        <w:tc>
          <w:tcPr>
            <w:tcW w:w="80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asciiTheme="minorEastAsia" w:hAnsiTheme="minorEastAsia" w:eastAsiaTheme="minorEastAsia"/>
                <w:b/>
                <w:bCs/>
              </w:rPr>
              <w:t>24,098.51</w:t>
            </w:r>
          </w:p>
        </w:tc>
        <w:tc>
          <w:tcPr>
            <w:tcW w:w="80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asciiTheme="minorEastAsia" w:hAnsiTheme="minorEastAsia" w:eastAsiaTheme="minorEastAsia"/>
                <w:b/>
                <w:bCs/>
              </w:rPr>
              <w:t>361.80</w:t>
            </w:r>
          </w:p>
        </w:tc>
        <w:tc>
          <w:tcPr>
            <w:tcW w:w="80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asciiTheme="minorEastAsia" w:hAnsiTheme="minorEastAsia" w:eastAsiaTheme="minorEastAsia"/>
                <w:b/>
                <w:bCs/>
              </w:rPr>
              <w:t>199.80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99"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现金流出</w:t>
            </w:r>
          </w:p>
        </w:tc>
        <w:tc>
          <w:tcPr>
            <w:tcW w:w="88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p>
        </w:tc>
        <w:tc>
          <w:tcPr>
            <w:tcW w:w="80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p>
        </w:tc>
        <w:tc>
          <w:tcPr>
            <w:tcW w:w="80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p>
        </w:tc>
        <w:tc>
          <w:tcPr>
            <w:tcW w:w="80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99"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rPr>
              <w:t>建设期资金流出</w:t>
            </w:r>
          </w:p>
        </w:tc>
        <w:tc>
          <w:tcPr>
            <w:tcW w:w="88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asciiTheme="minorEastAsia" w:hAnsiTheme="minorEastAsia" w:eastAsiaTheme="minorEastAsia"/>
              </w:rPr>
              <w:t>1,000.00</w:t>
            </w:r>
          </w:p>
        </w:tc>
        <w:tc>
          <w:tcPr>
            <w:tcW w:w="80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asciiTheme="minorEastAsia" w:hAnsiTheme="minorEastAsia" w:eastAsiaTheme="minorEastAsia"/>
              </w:rPr>
              <w:t>24,089.71</w:t>
            </w:r>
          </w:p>
        </w:tc>
        <w:tc>
          <w:tcPr>
            <w:tcW w:w="80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asciiTheme="minorEastAsia" w:hAnsiTheme="minorEastAsia" w:eastAsiaTheme="minorEastAsia"/>
              </w:rPr>
              <w:t>-</w:t>
            </w:r>
          </w:p>
        </w:tc>
        <w:tc>
          <w:tcPr>
            <w:tcW w:w="80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asciiTheme="minorEastAsia" w:hAnsiTheme="minorEastAsia" w:eastAsiaTheme="minor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99"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rPr>
              <w:t>运营期现金流出</w:t>
            </w:r>
          </w:p>
        </w:tc>
        <w:tc>
          <w:tcPr>
            <w:tcW w:w="88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asciiTheme="minorEastAsia" w:hAnsiTheme="minorEastAsia" w:eastAsiaTheme="minorEastAsia"/>
              </w:rPr>
              <w:t>-</w:t>
            </w:r>
          </w:p>
        </w:tc>
        <w:tc>
          <w:tcPr>
            <w:tcW w:w="80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asciiTheme="minorEastAsia" w:hAnsiTheme="minorEastAsia" w:eastAsiaTheme="minorEastAsia"/>
              </w:rPr>
              <w:t>-</w:t>
            </w:r>
          </w:p>
        </w:tc>
        <w:tc>
          <w:tcPr>
            <w:tcW w:w="80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asciiTheme="minorEastAsia" w:hAnsiTheme="minorEastAsia" w:eastAsiaTheme="minorEastAsia"/>
              </w:rPr>
              <w:t>92.06</w:t>
            </w:r>
          </w:p>
        </w:tc>
        <w:tc>
          <w:tcPr>
            <w:tcW w:w="80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asciiTheme="minorEastAsia" w:hAnsiTheme="minorEastAsia" w:eastAsiaTheme="minorEastAsia"/>
              </w:rPr>
              <w:t>51.56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99"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rPr>
              <w:t>债券还本付息</w:t>
            </w:r>
          </w:p>
        </w:tc>
        <w:tc>
          <w:tcPr>
            <w:tcW w:w="88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asciiTheme="minorEastAsia" w:hAnsiTheme="minorEastAsia" w:eastAsiaTheme="minorEastAsia"/>
              </w:rPr>
              <w:t>-</w:t>
            </w:r>
          </w:p>
        </w:tc>
        <w:tc>
          <w:tcPr>
            <w:tcW w:w="80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asciiTheme="minorEastAsia" w:hAnsiTheme="minorEastAsia" w:eastAsiaTheme="minorEastAsia"/>
              </w:rPr>
              <w:t>8.80</w:t>
            </w:r>
          </w:p>
        </w:tc>
        <w:tc>
          <w:tcPr>
            <w:tcW w:w="80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asciiTheme="minorEastAsia" w:hAnsiTheme="minorEastAsia" w:eastAsiaTheme="minorEastAsia"/>
              </w:rPr>
              <w:t>17.60</w:t>
            </w:r>
          </w:p>
        </w:tc>
        <w:tc>
          <w:tcPr>
            <w:tcW w:w="80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asciiTheme="minorEastAsia" w:hAnsiTheme="minorEastAsia" w:eastAsiaTheme="minorEastAsia"/>
              </w:rPr>
              <w:t>17.60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7" w:hRule="atLeast"/>
          <w:jc w:val="center"/>
        </w:trPr>
        <w:tc>
          <w:tcPr>
            <w:tcW w:w="1699"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rPr>
              <w:t>债券发行费用</w:t>
            </w:r>
          </w:p>
        </w:tc>
        <w:tc>
          <w:tcPr>
            <w:tcW w:w="88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asciiTheme="minorEastAsia" w:hAnsiTheme="minorEastAsia" w:eastAsiaTheme="minorEastAsia"/>
              </w:rPr>
              <w:t>-</w:t>
            </w:r>
          </w:p>
        </w:tc>
        <w:tc>
          <w:tcPr>
            <w:tcW w:w="80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asciiTheme="minorEastAsia" w:hAnsiTheme="minorEastAsia" w:eastAsiaTheme="minorEastAsia"/>
              </w:rPr>
              <w:t>-</w:t>
            </w:r>
          </w:p>
        </w:tc>
        <w:tc>
          <w:tcPr>
            <w:tcW w:w="80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asciiTheme="minorEastAsia" w:hAnsiTheme="minorEastAsia" w:eastAsiaTheme="minorEastAsia"/>
              </w:rPr>
              <w:t>-</w:t>
            </w:r>
          </w:p>
        </w:tc>
        <w:tc>
          <w:tcPr>
            <w:tcW w:w="80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asciiTheme="minorEastAsia" w:hAnsiTheme="minorEastAsia" w:eastAsiaTheme="minor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99"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现金流出总额</w:t>
            </w:r>
          </w:p>
        </w:tc>
        <w:tc>
          <w:tcPr>
            <w:tcW w:w="88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asciiTheme="minorEastAsia" w:hAnsiTheme="minorEastAsia" w:eastAsiaTheme="minorEastAsia"/>
                <w:b/>
                <w:bCs/>
              </w:rPr>
              <w:t>1,000.00</w:t>
            </w:r>
          </w:p>
        </w:tc>
        <w:tc>
          <w:tcPr>
            <w:tcW w:w="80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asciiTheme="minorEastAsia" w:hAnsiTheme="minorEastAsia" w:eastAsiaTheme="minorEastAsia"/>
                <w:b/>
                <w:bCs/>
              </w:rPr>
              <w:t>24,098.51</w:t>
            </w:r>
          </w:p>
        </w:tc>
        <w:tc>
          <w:tcPr>
            <w:tcW w:w="80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asciiTheme="minorEastAsia" w:hAnsiTheme="minorEastAsia" w:eastAsiaTheme="minorEastAsia"/>
                <w:b/>
                <w:bCs/>
              </w:rPr>
              <w:t>109.66</w:t>
            </w:r>
          </w:p>
        </w:tc>
        <w:tc>
          <w:tcPr>
            <w:tcW w:w="80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asciiTheme="minorEastAsia" w:hAnsiTheme="minorEastAsia" w:eastAsiaTheme="minorEastAsia"/>
                <w:b/>
                <w:bCs/>
              </w:rPr>
              <w:t>69.16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99"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现金净流量</w:t>
            </w:r>
          </w:p>
        </w:tc>
        <w:tc>
          <w:tcPr>
            <w:tcW w:w="88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p>
        </w:tc>
        <w:tc>
          <w:tcPr>
            <w:tcW w:w="80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p>
        </w:tc>
        <w:tc>
          <w:tcPr>
            <w:tcW w:w="80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p>
        </w:tc>
        <w:tc>
          <w:tcPr>
            <w:tcW w:w="80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99"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当年项目现金净流入</w:t>
            </w:r>
          </w:p>
        </w:tc>
        <w:tc>
          <w:tcPr>
            <w:tcW w:w="88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asciiTheme="minorEastAsia" w:hAnsiTheme="minorEastAsia" w:eastAsiaTheme="minorEastAsia"/>
                <w:b/>
                <w:bCs/>
              </w:rPr>
              <w:t>-</w:t>
            </w:r>
          </w:p>
        </w:tc>
        <w:tc>
          <w:tcPr>
            <w:tcW w:w="80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asciiTheme="minorEastAsia" w:hAnsiTheme="minorEastAsia" w:eastAsiaTheme="minorEastAsia"/>
                <w:b/>
                <w:bCs/>
              </w:rPr>
              <w:t>-</w:t>
            </w:r>
          </w:p>
        </w:tc>
        <w:tc>
          <w:tcPr>
            <w:tcW w:w="80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asciiTheme="minorEastAsia" w:hAnsiTheme="minorEastAsia" w:eastAsiaTheme="minorEastAsia"/>
                <w:b/>
                <w:bCs/>
              </w:rPr>
              <w:t>252.14</w:t>
            </w:r>
          </w:p>
        </w:tc>
        <w:tc>
          <w:tcPr>
            <w:tcW w:w="80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asciiTheme="minorEastAsia" w:hAnsiTheme="minorEastAsia" w:eastAsiaTheme="minorEastAsia"/>
                <w:b/>
                <w:bCs/>
              </w:rPr>
              <w:t>130.64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99"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期末项目累计现金结存额</w:t>
            </w:r>
          </w:p>
        </w:tc>
        <w:tc>
          <w:tcPr>
            <w:tcW w:w="88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asciiTheme="minorEastAsia" w:hAnsiTheme="minorEastAsia" w:eastAsiaTheme="minorEastAsia"/>
                <w:b/>
                <w:bCs/>
              </w:rPr>
              <w:t>-</w:t>
            </w:r>
          </w:p>
        </w:tc>
        <w:tc>
          <w:tcPr>
            <w:tcW w:w="80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asciiTheme="minorEastAsia" w:hAnsiTheme="minorEastAsia" w:eastAsiaTheme="minorEastAsia"/>
                <w:b/>
                <w:bCs/>
              </w:rPr>
              <w:t>-</w:t>
            </w:r>
          </w:p>
        </w:tc>
        <w:tc>
          <w:tcPr>
            <w:tcW w:w="80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asciiTheme="minorEastAsia" w:hAnsiTheme="minorEastAsia" w:eastAsiaTheme="minorEastAsia"/>
                <w:b/>
                <w:bCs/>
              </w:rPr>
              <w:t>252.14</w:t>
            </w:r>
          </w:p>
        </w:tc>
        <w:tc>
          <w:tcPr>
            <w:tcW w:w="80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asciiTheme="minorEastAsia" w:hAnsiTheme="minorEastAsia" w:eastAsiaTheme="minorEastAsia"/>
                <w:b/>
                <w:bCs/>
              </w:rPr>
              <w:t>382.78</w:t>
            </w:r>
          </w:p>
        </w:tc>
      </w:tr>
    </w:tbl>
    <w:p>
      <w:pPr>
        <w:ind w:firstLine="482" w:firstLineChars="200"/>
        <w:jc w:val="center"/>
        <w:rPr>
          <w:rFonts w:hint="eastAsia" w:cs="宋体" w:asciiTheme="minorEastAsia" w:hAnsiTheme="minorEastAsia" w:eastAsiaTheme="minorEastAsia"/>
          <w:b/>
          <w:sz w:val="24"/>
          <w:szCs w:val="24"/>
        </w:rPr>
      </w:pPr>
    </w:p>
    <w:tbl>
      <w:tblPr>
        <w:tblStyle w:val="1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3103"/>
        <w:gridCol w:w="1322"/>
        <w:gridCol w:w="1310"/>
        <w:gridCol w:w="1310"/>
        <w:gridCol w:w="13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tblHeader/>
          <w:jc w:val="center"/>
        </w:trPr>
        <w:tc>
          <w:tcPr>
            <w:tcW w:w="1857" w:type="pct"/>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jc w:val="cente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年度</w:t>
            </w:r>
          </w:p>
        </w:tc>
        <w:tc>
          <w:tcPr>
            <w:tcW w:w="791" w:type="pct"/>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jc w:val="cente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2028</w:t>
            </w:r>
          </w:p>
        </w:tc>
        <w:tc>
          <w:tcPr>
            <w:tcW w:w="784" w:type="pct"/>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jc w:val="cente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2029</w:t>
            </w:r>
          </w:p>
        </w:tc>
        <w:tc>
          <w:tcPr>
            <w:tcW w:w="784" w:type="pct"/>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jc w:val="cente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2030</w:t>
            </w:r>
          </w:p>
        </w:tc>
        <w:tc>
          <w:tcPr>
            <w:tcW w:w="784" w:type="pct"/>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jc w:val="cente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2031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857"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现金流入</w:t>
            </w:r>
          </w:p>
        </w:tc>
        <w:tc>
          <w:tcPr>
            <w:tcW w:w="79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p>
        </w:tc>
        <w:tc>
          <w:tcPr>
            <w:tcW w:w="78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p>
        </w:tc>
        <w:tc>
          <w:tcPr>
            <w:tcW w:w="78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p>
        </w:tc>
        <w:tc>
          <w:tcPr>
            <w:tcW w:w="78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857"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rPr>
              <w:t>自筹资金流入</w:t>
            </w:r>
          </w:p>
        </w:tc>
        <w:tc>
          <w:tcPr>
            <w:tcW w:w="79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asciiTheme="minorEastAsia" w:hAnsiTheme="minorEastAsia" w:eastAsiaTheme="minorEastAsia"/>
              </w:rPr>
              <w:t>-</w:t>
            </w:r>
          </w:p>
        </w:tc>
        <w:tc>
          <w:tcPr>
            <w:tcW w:w="78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asciiTheme="minorEastAsia" w:hAnsiTheme="minorEastAsia" w:eastAsiaTheme="minorEastAsia"/>
              </w:rPr>
              <w:t>-</w:t>
            </w:r>
          </w:p>
        </w:tc>
        <w:tc>
          <w:tcPr>
            <w:tcW w:w="78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asciiTheme="minorEastAsia" w:hAnsiTheme="minorEastAsia" w:eastAsiaTheme="minorEastAsia"/>
              </w:rPr>
              <w:t>-</w:t>
            </w:r>
          </w:p>
        </w:tc>
        <w:tc>
          <w:tcPr>
            <w:tcW w:w="78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asciiTheme="minorEastAsia" w:hAnsiTheme="minorEastAsia" w:eastAsiaTheme="minor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857"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rPr>
              <w:t>本期债券资金流入</w:t>
            </w:r>
          </w:p>
        </w:tc>
        <w:tc>
          <w:tcPr>
            <w:tcW w:w="79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asciiTheme="minorEastAsia" w:hAnsiTheme="minorEastAsia" w:eastAsiaTheme="minorEastAsia"/>
              </w:rPr>
              <w:t>-</w:t>
            </w:r>
          </w:p>
        </w:tc>
        <w:tc>
          <w:tcPr>
            <w:tcW w:w="78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asciiTheme="minorEastAsia" w:hAnsiTheme="minorEastAsia" w:eastAsiaTheme="minorEastAsia"/>
              </w:rPr>
              <w:t>-</w:t>
            </w:r>
          </w:p>
        </w:tc>
        <w:tc>
          <w:tcPr>
            <w:tcW w:w="78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asciiTheme="minorEastAsia" w:hAnsiTheme="minorEastAsia" w:eastAsiaTheme="minorEastAsia"/>
              </w:rPr>
              <w:t>-</w:t>
            </w:r>
          </w:p>
        </w:tc>
        <w:tc>
          <w:tcPr>
            <w:tcW w:w="78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asciiTheme="minorEastAsia" w:hAnsiTheme="minorEastAsia" w:eastAsiaTheme="minor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857"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rPr>
              <w:t>运营期现金流入</w:t>
            </w:r>
          </w:p>
        </w:tc>
        <w:tc>
          <w:tcPr>
            <w:tcW w:w="79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asciiTheme="minorEastAsia" w:hAnsiTheme="minorEastAsia" w:eastAsiaTheme="minorEastAsia"/>
              </w:rPr>
              <w:t>199.80</w:t>
            </w:r>
          </w:p>
        </w:tc>
        <w:tc>
          <w:tcPr>
            <w:tcW w:w="78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asciiTheme="minorEastAsia" w:hAnsiTheme="minorEastAsia" w:eastAsiaTheme="minorEastAsia"/>
              </w:rPr>
              <w:t>199.80</w:t>
            </w:r>
          </w:p>
        </w:tc>
        <w:tc>
          <w:tcPr>
            <w:tcW w:w="78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asciiTheme="minorEastAsia" w:hAnsiTheme="minorEastAsia" w:eastAsiaTheme="minorEastAsia"/>
              </w:rPr>
              <w:t>199.80</w:t>
            </w:r>
          </w:p>
        </w:tc>
        <w:tc>
          <w:tcPr>
            <w:tcW w:w="78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asciiTheme="minorEastAsia" w:hAnsiTheme="minorEastAsia" w:eastAsiaTheme="minorEastAsia"/>
              </w:rPr>
              <w:t>199.80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857"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现金流入总额</w:t>
            </w:r>
          </w:p>
        </w:tc>
        <w:tc>
          <w:tcPr>
            <w:tcW w:w="79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asciiTheme="minorEastAsia" w:hAnsiTheme="minorEastAsia" w:eastAsiaTheme="minorEastAsia"/>
                <w:b/>
                <w:bCs/>
              </w:rPr>
              <w:t>199.80</w:t>
            </w:r>
          </w:p>
        </w:tc>
        <w:tc>
          <w:tcPr>
            <w:tcW w:w="78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asciiTheme="minorEastAsia" w:hAnsiTheme="minorEastAsia" w:eastAsiaTheme="minorEastAsia"/>
                <w:b/>
                <w:bCs/>
              </w:rPr>
              <w:t>199.80</w:t>
            </w:r>
          </w:p>
        </w:tc>
        <w:tc>
          <w:tcPr>
            <w:tcW w:w="78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asciiTheme="minorEastAsia" w:hAnsiTheme="minorEastAsia" w:eastAsiaTheme="minorEastAsia"/>
                <w:b/>
                <w:bCs/>
              </w:rPr>
              <w:t>199.80</w:t>
            </w:r>
          </w:p>
        </w:tc>
        <w:tc>
          <w:tcPr>
            <w:tcW w:w="78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asciiTheme="minorEastAsia" w:hAnsiTheme="minorEastAsia" w:eastAsiaTheme="minorEastAsia"/>
                <w:b/>
                <w:bCs/>
              </w:rPr>
              <w:t>199.80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857"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现金流出</w:t>
            </w:r>
          </w:p>
        </w:tc>
        <w:tc>
          <w:tcPr>
            <w:tcW w:w="79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p>
        </w:tc>
        <w:tc>
          <w:tcPr>
            <w:tcW w:w="78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p>
        </w:tc>
        <w:tc>
          <w:tcPr>
            <w:tcW w:w="78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p>
        </w:tc>
        <w:tc>
          <w:tcPr>
            <w:tcW w:w="78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857"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rPr>
              <w:t>建设期资金流出</w:t>
            </w:r>
          </w:p>
        </w:tc>
        <w:tc>
          <w:tcPr>
            <w:tcW w:w="79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asciiTheme="minorEastAsia" w:hAnsiTheme="minorEastAsia" w:eastAsiaTheme="minorEastAsia"/>
              </w:rPr>
              <w:t>-</w:t>
            </w:r>
          </w:p>
        </w:tc>
        <w:tc>
          <w:tcPr>
            <w:tcW w:w="78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asciiTheme="minorEastAsia" w:hAnsiTheme="minorEastAsia" w:eastAsiaTheme="minorEastAsia"/>
              </w:rPr>
              <w:t>-</w:t>
            </w:r>
          </w:p>
        </w:tc>
        <w:tc>
          <w:tcPr>
            <w:tcW w:w="78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asciiTheme="minorEastAsia" w:hAnsiTheme="minorEastAsia" w:eastAsiaTheme="minorEastAsia"/>
              </w:rPr>
              <w:t>-</w:t>
            </w:r>
          </w:p>
        </w:tc>
        <w:tc>
          <w:tcPr>
            <w:tcW w:w="78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asciiTheme="minorEastAsia" w:hAnsiTheme="minorEastAsia" w:eastAsiaTheme="minor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857"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rPr>
              <w:t>运营期现金流出</w:t>
            </w:r>
          </w:p>
        </w:tc>
        <w:tc>
          <w:tcPr>
            <w:tcW w:w="79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asciiTheme="minorEastAsia" w:hAnsiTheme="minorEastAsia" w:eastAsiaTheme="minorEastAsia"/>
              </w:rPr>
              <w:t>51.56</w:t>
            </w:r>
          </w:p>
        </w:tc>
        <w:tc>
          <w:tcPr>
            <w:tcW w:w="78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asciiTheme="minorEastAsia" w:hAnsiTheme="minorEastAsia" w:eastAsiaTheme="minorEastAsia"/>
              </w:rPr>
              <w:t>51.56</w:t>
            </w:r>
          </w:p>
        </w:tc>
        <w:tc>
          <w:tcPr>
            <w:tcW w:w="78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asciiTheme="minorEastAsia" w:hAnsiTheme="minorEastAsia" w:eastAsiaTheme="minorEastAsia"/>
              </w:rPr>
              <w:t>51.56</w:t>
            </w:r>
          </w:p>
        </w:tc>
        <w:tc>
          <w:tcPr>
            <w:tcW w:w="78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asciiTheme="minorEastAsia" w:hAnsiTheme="minorEastAsia" w:eastAsiaTheme="minorEastAsia"/>
              </w:rPr>
              <w:t>51.56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857"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rPr>
              <w:t>债券还本付息</w:t>
            </w:r>
          </w:p>
        </w:tc>
        <w:tc>
          <w:tcPr>
            <w:tcW w:w="79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asciiTheme="minorEastAsia" w:hAnsiTheme="minorEastAsia" w:eastAsiaTheme="minorEastAsia"/>
              </w:rPr>
              <w:t>17.60</w:t>
            </w:r>
          </w:p>
        </w:tc>
        <w:tc>
          <w:tcPr>
            <w:tcW w:w="78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asciiTheme="minorEastAsia" w:hAnsiTheme="minorEastAsia" w:eastAsiaTheme="minorEastAsia"/>
              </w:rPr>
              <w:t>17.60</w:t>
            </w:r>
          </w:p>
        </w:tc>
        <w:tc>
          <w:tcPr>
            <w:tcW w:w="78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asciiTheme="minorEastAsia" w:hAnsiTheme="minorEastAsia" w:eastAsiaTheme="minorEastAsia"/>
              </w:rPr>
              <w:t>17.60</w:t>
            </w:r>
          </w:p>
        </w:tc>
        <w:tc>
          <w:tcPr>
            <w:tcW w:w="78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asciiTheme="minorEastAsia" w:hAnsiTheme="minorEastAsia" w:eastAsiaTheme="minorEastAsia"/>
              </w:rPr>
              <w:t>17.60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857"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rPr>
              <w:t>债券发行费用</w:t>
            </w:r>
          </w:p>
        </w:tc>
        <w:tc>
          <w:tcPr>
            <w:tcW w:w="79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asciiTheme="minorEastAsia" w:hAnsiTheme="minorEastAsia" w:eastAsiaTheme="minorEastAsia"/>
              </w:rPr>
              <w:t>-</w:t>
            </w:r>
          </w:p>
        </w:tc>
        <w:tc>
          <w:tcPr>
            <w:tcW w:w="78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asciiTheme="minorEastAsia" w:hAnsiTheme="minorEastAsia" w:eastAsiaTheme="minorEastAsia"/>
              </w:rPr>
              <w:t>-</w:t>
            </w:r>
          </w:p>
        </w:tc>
        <w:tc>
          <w:tcPr>
            <w:tcW w:w="78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asciiTheme="minorEastAsia" w:hAnsiTheme="minorEastAsia" w:eastAsiaTheme="minorEastAsia"/>
              </w:rPr>
              <w:t>-</w:t>
            </w:r>
          </w:p>
        </w:tc>
        <w:tc>
          <w:tcPr>
            <w:tcW w:w="78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asciiTheme="minorEastAsia" w:hAnsiTheme="minorEastAsia" w:eastAsiaTheme="minor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857"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现金流出总额</w:t>
            </w:r>
          </w:p>
        </w:tc>
        <w:tc>
          <w:tcPr>
            <w:tcW w:w="79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asciiTheme="minorEastAsia" w:hAnsiTheme="minorEastAsia" w:eastAsiaTheme="minorEastAsia"/>
                <w:b/>
                <w:bCs/>
              </w:rPr>
              <w:t>69.16</w:t>
            </w:r>
          </w:p>
        </w:tc>
        <w:tc>
          <w:tcPr>
            <w:tcW w:w="78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asciiTheme="minorEastAsia" w:hAnsiTheme="minorEastAsia" w:eastAsiaTheme="minorEastAsia"/>
                <w:b/>
                <w:bCs/>
              </w:rPr>
              <w:t>69.16</w:t>
            </w:r>
          </w:p>
        </w:tc>
        <w:tc>
          <w:tcPr>
            <w:tcW w:w="78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asciiTheme="minorEastAsia" w:hAnsiTheme="minorEastAsia" w:eastAsiaTheme="minorEastAsia"/>
                <w:b/>
                <w:bCs/>
              </w:rPr>
              <w:t>69.16</w:t>
            </w:r>
          </w:p>
        </w:tc>
        <w:tc>
          <w:tcPr>
            <w:tcW w:w="78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asciiTheme="minorEastAsia" w:hAnsiTheme="minorEastAsia" w:eastAsiaTheme="minorEastAsia"/>
                <w:b/>
                <w:bCs/>
              </w:rPr>
              <w:t>69.16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857"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现金净流量</w:t>
            </w:r>
          </w:p>
        </w:tc>
        <w:tc>
          <w:tcPr>
            <w:tcW w:w="79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p>
        </w:tc>
        <w:tc>
          <w:tcPr>
            <w:tcW w:w="78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p>
        </w:tc>
        <w:tc>
          <w:tcPr>
            <w:tcW w:w="78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p>
        </w:tc>
        <w:tc>
          <w:tcPr>
            <w:tcW w:w="78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857"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当年项目现金净流入</w:t>
            </w:r>
          </w:p>
        </w:tc>
        <w:tc>
          <w:tcPr>
            <w:tcW w:w="79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asciiTheme="minorEastAsia" w:hAnsiTheme="minorEastAsia" w:eastAsiaTheme="minorEastAsia"/>
                <w:b/>
                <w:bCs/>
              </w:rPr>
              <w:t>130.64</w:t>
            </w:r>
          </w:p>
        </w:tc>
        <w:tc>
          <w:tcPr>
            <w:tcW w:w="78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asciiTheme="minorEastAsia" w:hAnsiTheme="minorEastAsia" w:eastAsiaTheme="minorEastAsia"/>
                <w:b/>
                <w:bCs/>
              </w:rPr>
              <w:t>130.64</w:t>
            </w:r>
          </w:p>
        </w:tc>
        <w:tc>
          <w:tcPr>
            <w:tcW w:w="78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asciiTheme="minorEastAsia" w:hAnsiTheme="minorEastAsia" w:eastAsiaTheme="minorEastAsia"/>
                <w:b/>
                <w:bCs/>
              </w:rPr>
              <w:t>130.64</w:t>
            </w:r>
          </w:p>
        </w:tc>
        <w:tc>
          <w:tcPr>
            <w:tcW w:w="78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asciiTheme="minorEastAsia" w:hAnsiTheme="minorEastAsia" w:eastAsiaTheme="minorEastAsia"/>
                <w:b/>
                <w:bCs/>
              </w:rPr>
              <w:t>130.64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857"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期末项目累计现金结存额</w:t>
            </w:r>
          </w:p>
        </w:tc>
        <w:tc>
          <w:tcPr>
            <w:tcW w:w="79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asciiTheme="minorEastAsia" w:hAnsiTheme="minorEastAsia" w:eastAsiaTheme="minorEastAsia"/>
                <w:b/>
                <w:bCs/>
              </w:rPr>
              <w:t>513.42</w:t>
            </w:r>
          </w:p>
        </w:tc>
        <w:tc>
          <w:tcPr>
            <w:tcW w:w="78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asciiTheme="minorEastAsia" w:hAnsiTheme="minorEastAsia" w:eastAsiaTheme="minorEastAsia"/>
                <w:b/>
                <w:bCs/>
              </w:rPr>
              <w:t>644.06</w:t>
            </w:r>
          </w:p>
        </w:tc>
        <w:tc>
          <w:tcPr>
            <w:tcW w:w="78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asciiTheme="minorEastAsia" w:hAnsiTheme="minorEastAsia" w:eastAsiaTheme="minorEastAsia"/>
                <w:b/>
                <w:bCs/>
              </w:rPr>
              <w:t>774.70</w:t>
            </w:r>
          </w:p>
        </w:tc>
        <w:tc>
          <w:tcPr>
            <w:tcW w:w="78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asciiTheme="minorEastAsia" w:hAnsiTheme="minorEastAsia" w:eastAsiaTheme="minorEastAsia"/>
                <w:b/>
                <w:bCs/>
              </w:rPr>
              <w:t>905.34</w:t>
            </w:r>
          </w:p>
        </w:tc>
      </w:tr>
    </w:tbl>
    <w:p>
      <w:pPr>
        <w:ind w:firstLine="482" w:firstLineChars="200"/>
        <w:jc w:val="center"/>
        <w:rPr>
          <w:rFonts w:hint="eastAsia" w:cs="宋体" w:asciiTheme="minorEastAsia" w:hAnsiTheme="minorEastAsia" w:eastAsiaTheme="minorEastAsia"/>
          <w:b/>
          <w:sz w:val="24"/>
          <w:szCs w:val="24"/>
        </w:rPr>
      </w:pPr>
    </w:p>
    <w:tbl>
      <w:tblPr>
        <w:tblStyle w:val="1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700"/>
        <w:gridCol w:w="1060"/>
        <w:gridCol w:w="1099"/>
        <w:gridCol w:w="1099"/>
        <w:gridCol w:w="1099"/>
        <w:gridCol w:w="12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tblHeader/>
          <w:jc w:val="center"/>
        </w:trPr>
        <w:tc>
          <w:tcPr>
            <w:tcW w:w="1625" w:type="pct"/>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jc w:val="cente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年度</w:t>
            </w:r>
          </w:p>
        </w:tc>
        <w:tc>
          <w:tcPr>
            <w:tcW w:w="638" w:type="pct"/>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jc w:val="cente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2032</w:t>
            </w:r>
          </w:p>
        </w:tc>
        <w:tc>
          <w:tcPr>
            <w:tcW w:w="661" w:type="pct"/>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jc w:val="cente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2033</w:t>
            </w:r>
          </w:p>
        </w:tc>
        <w:tc>
          <w:tcPr>
            <w:tcW w:w="661" w:type="pct"/>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jc w:val="cente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2034</w:t>
            </w:r>
          </w:p>
        </w:tc>
        <w:tc>
          <w:tcPr>
            <w:tcW w:w="661" w:type="pct"/>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jc w:val="cente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2035</w:t>
            </w:r>
          </w:p>
        </w:tc>
        <w:tc>
          <w:tcPr>
            <w:tcW w:w="754" w:type="pct"/>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jc w:val="cente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625"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现金流入</w:t>
            </w:r>
          </w:p>
        </w:tc>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p>
        </w:tc>
        <w:tc>
          <w:tcPr>
            <w:tcW w:w="66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p>
        </w:tc>
        <w:tc>
          <w:tcPr>
            <w:tcW w:w="66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p>
        </w:tc>
        <w:tc>
          <w:tcPr>
            <w:tcW w:w="66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p>
        </w:tc>
        <w:tc>
          <w:tcPr>
            <w:tcW w:w="75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625"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rPr>
              <w:t>自筹资金流入</w:t>
            </w:r>
          </w:p>
        </w:tc>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asciiTheme="minorEastAsia" w:hAnsiTheme="minorEastAsia" w:eastAsiaTheme="minorEastAsia"/>
              </w:rPr>
              <w:t>-</w:t>
            </w:r>
          </w:p>
        </w:tc>
        <w:tc>
          <w:tcPr>
            <w:tcW w:w="66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asciiTheme="minorEastAsia" w:hAnsiTheme="minorEastAsia" w:eastAsiaTheme="minorEastAsia"/>
              </w:rPr>
              <w:t>-</w:t>
            </w:r>
          </w:p>
        </w:tc>
        <w:tc>
          <w:tcPr>
            <w:tcW w:w="66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Arial" w:asciiTheme="minorEastAsia" w:hAnsiTheme="minorEastAsia" w:eastAsiaTheme="minorEastAsia"/>
                <w:b/>
                <w:bCs/>
                <w:color w:val="000000"/>
                <w:szCs w:val="20"/>
              </w:rPr>
            </w:pPr>
            <w:r>
              <w:rPr>
                <w:rFonts w:asciiTheme="minorEastAsia" w:hAnsiTheme="minorEastAsia" w:eastAsiaTheme="minorEastAsia"/>
              </w:rPr>
              <w:t>-</w:t>
            </w:r>
          </w:p>
        </w:tc>
        <w:tc>
          <w:tcPr>
            <w:tcW w:w="66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heme="minorEastAsia" w:hAnsiTheme="minorEastAsia" w:eastAsiaTheme="minorEastAsia"/>
                <w:b/>
                <w:bCs/>
                <w:color w:val="000000"/>
                <w:szCs w:val="20"/>
              </w:rPr>
            </w:pPr>
            <w:r>
              <w:rPr>
                <w:rFonts w:asciiTheme="minorEastAsia" w:hAnsiTheme="minorEastAsia" w:eastAsiaTheme="minorEastAsia"/>
              </w:rPr>
              <w:t>-</w:t>
            </w:r>
          </w:p>
        </w:tc>
        <w:tc>
          <w:tcPr>
            <w:tcW w:w="75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asciiTheme="minorEastAsia" w:hAnsiTheme="minorEastAsia" w:eastAsiaTheme="minorEastAsia"/>
                <w:b/>
                <w:bCs/>
              </w:rPr>
              <w:t>24,098.51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625"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rPr>
              <w:t>本期债券资金流入</w:t>
            </w:r>
          </w:p>
        </w:tc>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asciiTheme="minorEastAsia" w:hAnsiTheme="minorEastAsia" w:eastAsiaTheme="minorEastAsia"/>
              </w:rPr>
              <w:t>-</w:t>
            </w:r>
          </w:p>
        </w:tc>
        <w:tc>
          <w:tcPr>
            <w:tcW w:w="66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asciiTheme="minorEastAsia" w:hAnsiTheme="minorEastAsia" w:eastAsiaTheme="minorEastAsia"/>
              </w:rPr>
              <w:t>-</w:t>
            </w:r>
          </w:p>
        </w:tc>
        <w:tc>
          <w:tcPr>
            <w:tcW w:w="66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Arial" w:asciiTheme="minorEastAsia" w:hAnsiTheme="minorEastAsia" w:eastAsiaTheme="minorEastAsia"/>
                <w:b/>
                <w:bCs/>
                <w:color w:val="000000"/>
                <w:szCs w:val="20"/>
              </w:rPr>
            </w:pPr>
            <w:r>
              <w:rPr>
                <w:rFonts w:asciiTheme="minorEastAsia" w:hAnsiTheme="minorEastAsia" w:eastAsiaTheme="minorEastAsia"/>
              </w:rPr>
              <w:t>-</w:t>
            </w:r>
          </w:p>
        </w:tc>
        <w:tc>
          <w:tcPr>
            <w:tcW w:w="66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heme="minorEastAsia" w:hAnsiTheme="minorEastAsia" w:eastAsiaTheme="minorEastAsia"/>
                <w:b/>
                <w:bCs/>
                <w:color w:val="000000"/>
                <w:szCs w:val="20"/>
              </w:rPr>
            </w:pPr>
            <w:r>
              <w:rPr>
                <w:rFonts w:asciiTheme="minorEastAsia" w:hAnsiTheme="minorEastAsia" w:eastAsiaTheme="minorEastAsia"/>
              </w:rPr>
              <w:t>-</w:t>
            </w:r>
          </w:p>
        </w:tc>
        <w:tc>
          <w:tcPr>
            <w:tcW w:w="75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asciiTheme="minorEastAsia" w:hAnsiTheme="minorEastAsia" w:eastAsiaTheme="minorEastAsia"/>
                <w:b/>
                <w:bCs/>
              </w:rPr>
              <w:t>1,000.00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625"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rPr>
              <w:t>运营期现金流入</w:t>
            </w:r>
          </w:p>
        </w:tc>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asciiTheme="minorEastAsia" w:hAnsiTheme="minorEastAsia" w:eastAsiaTheme="minorEastAsia"/>
              </w:rPr>
              <w:t>199.80</w:t>
            </w:r>
          </w:p>
        </w:tc>
        <w:tc>
          <w:tcPr>
            <w:tcW w:w="66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asciiTheme="minorEastAsia" w:hAnsiTheme="minorEastAsia" w:eastAsiaTheme="minorEastAsia"/>
              </w:rPr>
              <w:t>199.80</w:t>
            </w:r>
          </w:p>
        </w:tc>
        <w:tc>
          <w:tcPr>
            <w:tcW w:w="66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Arial" w:asciiTheme="minorEastAsia" w:hAnsiTheme="minorEastAsia" w:eastAsiaTheme="minorEastAsia"/>
                <w:b/>
                <w:bCs/>
                <w:color w:val="000000"/>
                <w:szCs w:val="20"/>
              </w:rPr>
            </w:pPr>
            <w:r>
              <w:rPr>
                <w:rFonts w:asciiTheme="minorEastAsia" w:hAnsiTheme="minorEastAsia" w:eastAsiaTheme="minorEastAsia"/>
              </w:rPr>
              <w:t>199.80</w:t>
            </w:r>
          </w:p>
        </w:tc>
        <w:tc>
          <w:tcPr>
            <w:tcW w:w="66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heme="minorEastAsia" w:hAnsiTheme="minorEastAsia" w:eastAsiaTheme="minorEastAsia"/>
                <w:b/>
                <w:bCs/>
                <w:color w:val="000000"/>
                <w:szCs w:val="20"/>
              </w:rPr>
            </w:pPr>
            <w:r>
              <w:rPr>
                <w:rFonts w:asciiTheme="minorEastAsia" w:hAnsiTheme="minorEastAsia" w:eastAsiaTheme="minorEastAsia"/>
              </w:rPr>
              <w:t>199.80</w:t>
            </w:r>
          </w:p>
        </w:tc>
        <w:tc>
          <w:tcPr>
            <w:tcW w:w="75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asciiTheme="minorEastAsia" w:hAnsiTheme="minorEastAsia" w:eastAsiaTheme="minorEastAsia"/>
                <w:b/>
                <w:bCs/>
              </w:rPr>
              <w:t>2,160.00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625"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现金流入总额</w:t>
            </w:r>
          </w:p>
        </w:tc>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asciiTheme="minorEastAsia" w:hAnsiTheme="minorEastAsia" w:eastAsiaTheme="minorEastAsia"/>
                <w:b/>
                <w:bCs/>
              </w:rPr>
              <w:t>199.80</w:t>
            </w:r>
          </w:p>
        </w:tc>
        <w:tc>
          <w:tcPr>
            <w:tcW w:w="66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asciiTheme="minorEastAsia" w:hAnsiTheme="minorEastAsia" w:eastAsiaTheme="minorEastAsia"/>
                <w:b/>
                <w:bCs/>
              </w:rPr>
              <w:t>199.80</w:t>
            </w:r>
          </w:p>
        </w:tc>
        <w:tc>
          <w:tcPr>
            <w:tcW w:w="66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Arial" w:asciiTheme="minorEastAsia" w:hAnsiTheme="minorEastAsia" w:eastAsiaTheme="minorEastAsia"/>
                <w:b/>
                <w:bCs/>
                <w:color w:val="000000"/>
                <w:szCs w:val="20"/>
              </w:rPr>
            </w:pPr>
            <w:r>
              <w:rPr>
                <w:rFonts w:asciiTheme="minorEastAsia" w:hAnsiTheme="minorEastAsia" w:eastAsiaTheme="minorEastAsia"/>
                <w:b/>
                <w:bCs/>
              </w:rPr>
              <w:t>199.80</w:t>
            </w:r>
          </w:p>
        </w:tc>
        <w:tc>
          <w:tcPr>
            <w:tcW w:w="66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heme="minorEastAsia" w:hAnsiTheme="minorEastAsia" w:eastAsiaTheme="minorEastAsia"/>
                <w:b/>
                <w:bCs/>
                <w:color w:val="000000"/>
                <w:szCs w:val="20"/>
              </w:rPr>
            </w:pPr>
            <w:r>
              <w:rPr>
                <w:rFonts w:asciiTheme="minorEastAsia" w:hAnsiTheme="minorEastAsia" w:eastAsiaTheme="minorEastAsia"/>
                <w:b/>
                <w:bCs/>
              </w:rPr>
              <w:t>199.80</w:t>
            </w:r>
          </w:p>
        </w:tc>
        <w:tc>
          <w:tcPr>
            <w:tcW w:w="75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asciiTheme="minorEastAsia" w:hAnsiTheme="minorEastAsia" w:eastAsiaTheme="minorEastAsia"/>
                <w:b/>
                <w:bCs/>
              </w:rPr>
              <w:t>27,258.51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625"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现金流出</w:t>
            </w:r>
          </w:p>
        </w:tc>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p>
        </w:tc>
        <w:tc>
          <w:tcPr>
            <w:tcW w:w="66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p>
        </w:tc>
        <w:tc>
          <w:tcPr>
            <w:tcW w:w="66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Arial" w:asciiTheme="minorEastAsia" w:hAnsiTheme="minorEastAsia" w:eastAsiaTheme="minorEastAsia"/>
                <w:b/>
                <w:bCs/>
                <w:color w:val="000000"/>
                <w:szCs w:val="20"/>
              </w:rPr>
            </w:pPr>
          </w:p>
        </w:tc>
        <w:tc>
          <w:tcPr>
            <w:tcW w:w="66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heme="minorEastAsia" w:hAnsiTheme="minorEastAsia" w:eastAsiaTheme="minorEastAsia"/>
                <w:b/>
                <w:bCs/>
                <w:color w:val="000000"/>
                <w:szCs w:val="20"/>
              </w:rPr>
            </w:pPr>
          </w:p>
        </w:tc>
        <w:tc>
          <w:tcPr>
            <w:tcW w:w="75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625"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rPr>
              <w:t>建设期资金流出</w:t>
            </w:r>
          </w:p>
        </w:tc>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asciiTheme="minorEastAsia" w:hAnsiTheme="minorEastAsia" w:eastAsiaTheme="minorEastAsia"/>
              </w:rPr>
              <w:t>-</w:t>
            </w:r>
          </w:p>
        </w:tc>
        <w:tc>
          <w:tcPr>
            <w:tcW w:w="66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asciiTheme="minorEastAsia" w:hAnsiTheme="minorEastAsia" w:eastAsiaTheme="minorEastAsia"/>
              </w:rPr>
              <w:t>-</w:t>
            </w:r>
          </w:p>
        </w:tc>
        <w:tc>
          <w:tcPr>
            <w:tcW w:w="66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Arial" w:asciiTheme="minorEastAsia" w:hAnsiTheme="minorEastAsia" w:eastAsiaTheme="minorEastAsia"/>
                <w:b/>
                <w:bCs/>
                <w:color w:val="000000"/>
                <w:szCs w:val="20"/>
              </w:rPr>
            </w:pPr>
            <w:r>
              <w:rPr>
                <w:rFonts w:asciiTheme="minorEastAsia" w:hAnsiTheme="minorEastAsia" w:eastAsiaTheme="minorEastAsia"/>
              </w:rPr>
              <w:t>-</w:t>
            </w:r>
          </w:p>
        </w:tc>
        <w:tc>
          <w:tcPr>
            <w:tcW w:w="66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heme="minorEastAsia" w:hAnsiTheme="minorEastAsia" w:eastAsiaTheme="minorEastAsia"/>
                <w:b/>
                <w:bCs/>
                <w:color w:val="000000"/>
                <w:szCs w:val="20"/>
              </w:rPr>
            </w:pPr>
            <w:r>
              <w:rPr>
                <w:rFonts w:asciiTheme="minorEastAsia" w:hAnsiTheme="minorEastAsia" w:eastAsiaTheme="minorEastAsia"/>
              </w:rPr>
              <w:t>-</w:t>
            </w:r>
          </w:p>
        </w:tc>
        <w:tc>
          <w:tcPr>
            <w:tcW w:w="75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asciiTheme="minorEastAsia" w:hAnsiTheme="minorEastAsia" w:eastAsiaTheme="minorEastAsia"/>
                <w:b/>
                <w:bCs/>
              </w:rPr>
              <w:t>25,089.71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625"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rPr>
              <w:t>运营期现金流出</w:t>
            </w:r>
          </w:p>
        </w:tc>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asciiTheme="minorEastAsia" w:hAnsiTheme="minorEastAsia" w:eastAsiaTheme="minorEastAsia"/>
              </w:rPr>
              <w:t>51.56</w:t>
            </w:r>
          </w:p>
        </w:tc>
        <w:tc>
          <w:tcPr>
            <w:tcW w:w="66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asciiTheme="minorEastAsia" w:hAnsiTheme="minorEastAsia" w:eastAsiaTheme="minorEastAsia"/>
              </w:rPr>
              <w:t>51.56</w:t>
            </w:r>
          </w:p>
        </w:tc>
        <w:tc>
          <w:tcPr>
            <w:tcW w:w="66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Arial" w:asciiTheme="minorEastAsia" w:hAnsiTheme="minorEastAsia" w:eastAsiaTheme="minorEastAsia"/>
                <w:b/>
                <w:bCs/>
                <w:color w:val="000000"/>
                <w:szCs w:val="20"/>
              </w:rPr>
            </w:pPr>
            <w:r>
              <w:rPr>
                <w:rFonts w:asciiTheme="minorEastAsia" w:hAnsiTheme="minorEastAsia" w:eastAsiaTheme="minorEastAsia"/>
              </w:rPr>
              <w:t>51.56</w:t>
            </w:r>
          </w:p>
        </w:tc>
        <w:tc>
          <w:tcPr>
            <w:tcW w:w="66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heme="minorEastAsia" w:hAnsiTheme="minorEastAsia" w:eastAsiaTheme="minorEastAsia"/>
                <w:b/>
                <w:bCs/>
                <w:color w:val="000000"/>
                <w:szCs w:val="20"/>
              </w:rPr>
            </w:pPr>
            <w:r>
              <w:rPr>
                <w:rFonts w:asciiTheme="minorEastAsia" w:hAnsiTheme="minorEastAsia" w:eastAsiaTheme="minorEastAsia"/>
              </w:rPr>
              <w:t>51.56</w:t>
            </w:r>
          </w:p>
        </w:tc>
        <w:tc>
          <w:tcPr>
            <w:tcW w:w="75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asciiTheme="minorEastAsia" w:hAnsiTheme="minorEastAsia" w:eastAsiaTheme="minorEastAsia"/>
                <w:b/>
                <w:bCs/>
              </w:rPr>
              <w:t>556.10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625"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rPr>
              <w:t>债券还本付息</w:t>
            </w:r>
          </w:p>
        </w:tc>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asciiTheme="minorEastAsia" w:hAnsiTheme="minorEastAsia" w:eastAsiaTheme="minorEastAsia"/>
              </w:rPr>
              <w:t>17.60</w:t>
            </w:r>
          </w:p>
        </w:tc>
        <w:tc>
          <w:tcPr>
            <w:tcW w:w="66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asciiTheme="minorEastAsia" w:hAnsiTheme="minorEastAsia" w:eastAsiaTheme="minorEastAsia"/>
              </w:rPr>
              <w:t>17.60</w:t>
            </w:r>
          </w:p>
        </w:tc>
        <w:tc>
          <w:tcPr>
            <w:tcW w:w="66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Arial" w:asciiTheme="minorEastAsia" w:hAnsiTheme="minorEastAsia" w:eastAsiaTheme="minorEastAsia"/>
                <w:b/>
                <w:bCs/>
                <w:color w:val="000000"/>
                <w:szCs w:val="20"/>
              </w:rPr>
            </w:pPr>
            <w:r>
              <w:rPr>
                <w:rFonts w:asciiTheme="minorEastAsia" w:hAnsiTheme="minorEastAsia" w:eastAsiaTheme="minorEastAsia"/>
              </w:rPr>
              <w:t>17.60</w:t>
            </w:r>
          </w:p>
        </w:tc>
        <w:tc>
          <w:tcPr>
            <w:tcW w:w="66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heme="minorEastAsia" w:hAnsiTheme="minorEastAsia" w:eastAsiaTheme="minorEastAsia"/>
                <w:b/>
                <w:bCs/>
                <w:color w:val="000000"/>
                <w:szCs w:val="20"/>
              </w:rPr>
            </w:pPr>
            <w:r>
              <w:rPr>
                <w:rFonts w:asciiTheme="minorEastAsia" w:hAnsiTheme="minorEastAsia" w:eastAsiaTheme="minorEastAsia"/>
              </w:rPr>
              <w:t>1,008.80</w:t>
            </w:r>
          </w:p>
        </w:tc>
        <w:tc>
          <w:tcPr>
            <w:tcW w:w="75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asciiTheme="minorEastAsia" w:hAnsiTheme="minorEastAsia" w:eastAsiaTheme="minorEastAsia"/>
                <w:b/>
                <w:bCs/>
              </w:rPr>
              <w:t>1,176.00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625"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rPr>
              <w:t>债券发行费用</w:t>
            </w:r>
          </w:p>
        </w:tc>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asciiTheme="minorEastAsia" w:hAnsiTheme="minorEastAsia" w:eastAsiaTheme="minorEastAsia"/>
              </w:rPr>
              <w:t>-</w:t>
            </w:r>
          </w:p>
        </w:tc>
        <w:tc>
          <w:tcPr>
            <w:tcW w:w="66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asciiTheme="minorEastAsia" w:hAnsiTheme="minorEastAsia" w:eastAsiaTheme="minorEastAsia"/>
              </w:rPr>
              <w:t>-</w:t>
            </w:r>
          </w:p>
        </w:tc>
        <w:tc>
          <w:tcPr>
            <w:tcW w:w="66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Arial" w:asciiTheme="minorEastAsia" w:hAnsiTheme="minorEastAsia" w:eastAsiaTheme="minorEastAsia"/>
                <w:b/>
                <w:bCs/>
                <w:color w:val="000000"/>
                <w:szCs w:val="20"/>
              </w:rPr>
            </w:pPr>
            <w:r>
              <w:rPr>
                <w:rFonts w:asciiTheme="minorEastAsia" w:hAnsiTheme="minorEastAsia" w:eastAsiaTheme="minorEastAsia"/>
              </w:rPr>
              <w:t>-</w:t>
            </w:r>
          </w:p>
        </w:tc>
        <w:tc>
          <w:tcPr>
            <w:tcW w:w="66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heme="minorEastAsia" w:hAnsiTheme="minorEastAsia" w:eastAsiaTheme="minorEastAsia"/>
                <w:b/>
                <w:bCs/>
                <w:color w:val="000000"/>
                <w:szCs w:val="20"/>
              </w:rPr>
            </w:pPr>
            <w:r>
              <w:rPr>
                <w:rFonts w:asciiTheme="minorEastAsia" w:hAnsiTheme="minorEastAsia" w:eastAsiaTheme="minorEastAsia"/>
              </w:rPr>
              <w:t>-</w:t>
            </w:r>
          </w:p>
        </w:tc>
        <w:tc>
          <w:tcPr>
            <w:tcW w:w="75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asciiTheme="minorEastAsia" w:hAnsiTheme="minorEastAsia" w:eastAsiaTheme="minor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625"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现金流出总额</w:t>
            </w:r>
          </w:p>
        </w:tc>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asciiTheme="minorEastAsia" w:hAnsiTheme="minorEastAsia" w:eastAsiaTheme="minorEastAsia"/>
                <w:b/>
                <w:bCs/>
              </w:rPr>
              <w:t>69.16</w:t>
            </w:r>
          </w:p>
        </w:tc>
        <w:tc>
          <w:tcPr>
            <w:tcW w:w="66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asciiTheme="minorEastAsia" w:hAnsiTheme="minorEastAsia" w:eastAsiaTheme="minorEastAsia"/>
                <w:b/>
                <w:bCs/>
              </w:rPr>
              <w:t>69.16</w:t>
            </w:r>
          </w:p>
        </w:tc>
        <w:tc>
          <w:tcPr>
            <w:tcW w:w="66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Arial" w:asciiTheme="minorEastAsia" w:hAnsiTheme="minorEastAsia" w:eastAsiaTheme="minorEastAsia"/>
                <w:b/>
                <w:bCs/>
                <w:color w:val="000000"/>
                <w:szCs w:val="20"/>
              </w:rPr>
            </w:pPr>
            <w:r>
              <w:rPr>
                <w:rFonts w:asciiTheme="minorEastAsia" w:hAnsiTheme="minorEastAsia" w:eastAsiaTheme="minorEastAsia"/>
                <w:b/>
                <w:bCs/>
              </w:rPr>
              <w:t>69.16</w:t>
            </w:r>
          </w:p>
        </w:tc>
        <w:tc>
          <w:tcPr>
            <w:tcW w:w="66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heme="minorEastAsia" w:hAnsiTheme="minorEastAsia" w:eastAsiaTheme="minorEastAsia"/>
                <w:b/>
                <w:bCs/>
                <w:color w:val="000000"/>
                <w:szCs w:val="20"/>
              </w:rPr>
            </w:pPr>
            <w:r>
              <w:rPr>
                <w:rFonts w:asciiTheme="minorEastAsia" w:hAnsiTheme="minorEastAsia" w:eastAsiaTheme="minorEastAsia"/>
                <w:b/>
                <w:bCs/>
              </w:rPr>
              <w:t>1,060.36</w:t>
            </w:r>
          </w:p>
        </w:tc>
        <w:tc>
          <w:tcPr>
            <w:tcW w:w="75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asciiTheme="minorEastAsia" w:hAnsiTheme="minorEastAsia" w:eastAsiaTheme="minorEastAsia"/>
                <w:b/>
                <w:bCs/>
              </w:rPr>
              <w:t>26,821.81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625"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现金净流量</w:t>
            </w:r>
          </w:p>
        </w:tc>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p>
        </w:tc>
        <w:tc>
          <w:tcPr>
            <w:tcW w:w="66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p>
        </w:tc>
        <w:tc>
          <w:tcPr>
            <w:tcW w:w="66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Arial" w:asciiTheme="minorEastAsia" w:hAnsiTheme="minorEastAsia" w:eastAsiaTheme="minorEastAsia"/>
                <w:b/>
                <w:bCs/>
                <w:color w:val="000000"/>
                <w:szCs w:val="20"/>
              </w:rPr>
            </w:pPr>
          </w:p>
        </w:tc>
        <w:tc>
          <w:tcPr>
            <w:tcW w:w="66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p>
        </w:tc>
        <w:tc>
          <w:tcPr>
            <w:tcW w:w="75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625"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当年项目现金净流入</w:t>
            </w:r>
          </w:p>
        </w:tc>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asciiTheme="minorEastAsia" w:hAnsiTheme="minorEastAsia" w:eastAsiaTheme="minorEastAsia"/>
                <w:b/>
                <w:bCs/>
              </w:rPr>
              <w:t>130.64</w:t>
            </w:r>
          </w:p>
        </w:tc>
        <w:tc>
          <w:tcPr>
            <w:tcW w:w="66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asciiTheme="minorEastAsia" w:hAnsiTheme="minorEastAsia" w:eastAsiaTheme="minorEastAsia"/>
                <w:b/>
                <w:bCs/>
              </w:rPr>
              <w:t>130.64</w:t>
            </w:r>
          </w:p>
        </w:tc>
        <w:tc>
          <w:tcPr>
            <w:tcW w:w="66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Arial" w:asciiTheme="minorEastAsia" w:hAnsiTheme="minorEastAsia" w:eastAsiaTheme="minorEastAsia"/>
                <w:b/>
                <w:bCs/>
                <w:color w:val="000000"/>
                <w:szCs w:val="20"/>
              </w:rPr>
            </w:pPr>
            <w:r>
              <w:rPr>
                <w:rFonts w:asciiTheme="minorEastAsia" w:hAnsiTheme="minorEastAsia" w:eastAsiaTheme="minorEastAsia"/>
                <w:b/>
                <w:bCs/>
              </w:rPr>
              <w:t>130.64</w:t>
            </w:r>
          </w:p>
        </w:tc>
        <w:tc>
          <w:tcPr>
            <w:tcW w:w="66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heme="minorEastAsia" w:hAnsiTheme="minorEastAsia" w:eastAsiaTheme="minorEastAsia"/>
                <w:b/>
                <w:bCs/>
                <w:color w:val="000000"/>
                <w:szCs w:val="20"/>
              </w:rPr>
            </w:pPr>
            <w:r>
              <w:rPr>
                <w:rFonts w:asciiTheme="minorEastAsia" w:hAnsiTheme="minorEastAsia" w:eastAsiaTheme="minorEastAsia"/>
                <w:b/>
                <w:bCs/>
              </w:rPr>
              <w:t>-860.56</w:t>
            </w:r>
          </w:p>
        </w:tc>
        <w:tc>
          <w:tcPr>
            <w:tcW w:w="75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asciiTheme="minorEastAsia" w:hAnsiTheme="minorEastAsia" w:eastAsiaTheme="minorEastAsia"/>
                <w:b/>
                <w:bC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625"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期末项目累计现金结存额</w:t>
            </w:r>
          </w:p>
        </w:tc>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asciiTheme="minorEastAsia" w:hAnsiTheme="minorEastAsia" w:eastAsiaTheme="minorEastAsia"/>
                <w:b/>
                <w:bCs/>
              </w:rPr>
              <w:t>1,035.98</w:t>
            </w:r>
          </w:p>
        </w:tc>
        <w:tc>
          <w:tcPr>
            <w:tcW w:w="66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asciiTheme="minorEastAsia" w:hAnsiTheme="minorEastAsia" w:eastAsiaTheme="minorEastAsia"/>
                <w:b/>
                <w:bCs/>
              </w:rPr>
              <w:t>1,166.62</w:t>
            </w:r>
          </w:p>
        </w:tc>
        <w:tc>
          <w:tcPr>
            <w:tcW w:w="66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Arial" w:asciiTheme="minorEastAsia" w:hAnsiTheme="minorEastAsia" w:eastAsiaTheme="minorEastAsia"/>
                <w:b/>
                <w:bCs/>
                <w:color w:val="000000"/>
                <w:szCs w:val="20"/>
              </w:rPr>
            </w:pPr>
            <w:r>
              <w:rPr>
                <w:rFonts w:asciiTheme="minorEastAsia" w:hAnsiTheme="minorEastAsia" w:eastAsiaTheme="minorEastAsia"/>
                <w:b/>
                <w:bCs/>
              </w:rPr>
              <w:t>1,297.26</w:t>
            </w:r>
          </w:p>
        </w:tc>
        <w:tc>
          <w:tcPr>
            <w:tcW w:w="66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Theme="minorEastAsia" w:hAnsiTheme="minorEastAsia" w:eastAsiaTheme="minorEastAsia"/>
                <w:b/>
                <w:bCs/>
                <w:color w:val="000000"/>
                <w:szCs w:val="20"/>
              </w:rPr>
            </w:pPr>
            <w:r>
              <w:rPr>
                <w:rFonts w:asciiTheme="minorEastAsia" w:hAnsiTheme="minorEastAsia" w:eastAsiaTheme="minorEastAsia"/>
                <w:b/>
                <w:bCs/>
              </w:rPr>
              <w:t>436.70</w:t>
            </w:r>
          </w:p>
        </w:tc>
        <w:tc>
          <w:tcPr>
            <w:tcW w:w="75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asciiTheme="minorEastAsia" w:hAnsiTheme="minorEastAsia" w:eastAsiaTheme="minorEastAsia"/>
                <w:b/>
                <w:bCs/>
              </w:rPr>
              <w:t>-</w:t>
            </w:r>
          </w:p>
        </w:tc>
      </w:tr>
    </w:tbl>
    <w:p>
      <w:pPr>
        <w:spacing w:before="120" w:after="120" w:line="360" w:lineRule="auto"/>
        <w:ind w:firstLine="482" w:firstLineChars="200"/>
        <w:outlineLvl w:val="2"/>
        <w:rPr>
          <w:rFonts w:hint="eastAsia" w:ascii="宋体" w:hAnsi="宋体" w:eastAsia="宋体" w:cs="宋体"/>
          <w:b/>
          <w:bCs/>
          <w:color w:val="000000"/>
          <w:sz w:val="24"/>
          <w:szCs w:val="24"/>
        </w:rPr>
      </w:pPr>
      <w:bookmarkStart w:id="25" w:name="_Toc200555438"/>
      <w:bookmarkStart w:id="26" w:name="_Toc114818425"/>
      <w:bookmarkStart w:id="27" w:name="_Toc114818535"/>
      <w:r>
        <w:rPr>
          <w:rFonts w:hint="eastAsia" w:ascii="宋体" w:hAnsi="宋体" w:eastAsia="宋体" w:cs="宋体"/>
          <w:b/>
          <w:bCs/>
          <w:color w:val="000000"/>
          <w:sz w:val="24"/>
          <w:szCs w:val="24"/>
        </w:rPr>
        <w:t>4.债券发行和还本付息</w:t>
      </w:r>
      <w:bookmarkEnd w:id="25"/>
    </w:p>
    <w:p>
      <w:pPr>
        <w:spacing w:before="120" w:after="12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本次债券利息每半年支付一次，最后一期利息随本金一起支付。自发行之日起存续期还本付息情况详见表7。</w:t>
      </w:r>
    </w:p>
    <w:p>
      <w:pPr>
        <w:ind w:firstLine="482" w:firstLineChars="200"/>
        <w:jc w:val="center"/>
        <w:rPr>
          <w:rFonts w:hint="eastAsia" w:ascii="宋体" w:hAnsi="宋体" w:eastAsia="宋体" w:cs="宋体"/>
          <w:b/>
          <w:sz w:val="24"/>
          <w:szCs w:val="24"/>
        </w:rPr>
      </w:pPr>
      <w:r>
        <w:rPr>
          <w:rFonts w:hint="eastAsia" w:ascii="宋体" w:hAnsi="宋体" w:eastAsia="宋体" w:cs="宋体"/>
          <w:b/>
          <w:sz w:val="24"/>
          <w:szCs w:val="24"/>
        </w:rPr>
        <w:t>表7海口市江东新区园区配套基础设施配套项目（三期）配套路网工程还本付息表</w:t>
      </w:r>
    </w:p>
    <w:p>
      <w:pPr>
        <w:ind w:firstLine="360" w:firstLineChars="200"/>
        <w:jc w:val="right"/>
        <w:rPr>
          <w:rFonts w:hint="eastAsia" w:ascii="宋体" w:hAnsi="宋体" w:eastAsia="宋体" w:cs="宋体"/>
          <w:sz w:val="18"/>
          <w:szCs w:val="18"/>
        </w:rPr>
      </w:pPr>
      <w:r>
        <w:rPr>
          <w:rFonts w:hint="eastAsia" w:ascii="宋体" w:hAnsi="宋体" w:eastAsia="宋体" w:cs="宋体"/>
          <w:sz w:val="18"/>
          <w:szCs w:val="18"/>
        </w:rPr>
        <w:t>单位：人民币万元</w:t>
      </w:r>
    </w:p>
    <w:tbl>
      <w:tblPr>
        <w:tblStyle w:val="19"/>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1818"/>
        <w:gridCol w:w="1092"/>
        <w:gridCol w:w="1090"/>
        <w:gridCol w:w="1090"/>
        <w:gridCol w:w="1090"/>
        <w:gridCol w:w="1084"/>
        <w:gridCol w:w="10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blHeader/>
        </w:trPr>
        <w:tc>
          <w:tcPr>
            <w:tcW w:w="1089" w:type="pct"/>
            <w:shd w:val="clear" w:color="auto" w:fill="D8D8D8" w:themeFill="background1" w:themeFillShade="D9"/>
            <w:vAlign w:val="center"/>
          </w:tcPr>
          <w:p>
            <w:pPr>
              <w:jc w:val="center"/>
              <w:rPr>
                <w:rFonts w:hint="eastAsia" w:ascii="宋体" w:hAnsi="宋体" w:eastAsia="宋体" w:cs="宋体"/>
                <w:b/>
                <w:bCs/>
                <w:color w:val="000000"/>
                <w:szCs w:val="20"/>
              </w:rPr>
            </w:pPr>
            <w:r>
              <w:rPr>
                <w:rFonts w:hint="eastAsia" w:ascii="宋体" w:hAnsi="宋体" w:eastAsia="宋体" w:cs="宋体"/>
                <w:b/>
                <w:bCs/>
                <w:color w:val="000000"/>
                <w:szCs w:val="20"/>
              </w:rPr>
              <w:t>年度</w:t>
            </w:r>
          </w:p>
        </w:tc>
        <w:tc>
          <w:tcPr>
            <w:tcW w:w="654" w:type="pct"/>
            <w:shd w:val="clear" w:color="auto" w:fill="D8D8D8" w:themeFill="background1" w:themeFillShade="D9"/>
            <w:vAlign w:val="center"/>
          </w:tcPr>
          <w:p>
            <w:pPr>
              <w:jc w:val="center"/>
              <w:rPr>
                <w:rFonts w:hint="eastAsia" w:ascii="宋体" w:hAnsi="宋体" w:eastAsia="宋体" w:cs="宋体"/>
                <w:b/>
                <w:bCs/>
                <w:color w:val="000000"/>
                <w:szCs w:val="20"/>
              </w:rPr>
            </w:pPr>
            <w:r>
              <w:rPr>
                <w:rFonts w:hint="eastAsia" w:ascii="宋体" w:hAnsi="宋体" w:eastAsia="宋体" w:cs="宋体"/>
                <w:b/>
                <w:bCs/>
                <w:color w:val="000000"/>
                <w:szCs w:val="20"/>
              </w:rPr>
              <w:t>2025</w:t>
            </w:r>
          </w:p>
        </w:tc>
        <w:tc>
          <w:tcPr>
            <w:tcW w:w="653" w:type="pct"/>
            <w:shd w:val="clear" w:color="auto" w:fill="D8D8D8" w:themeFill="background1" w:themeFillShade="D9"/>
            <w:vAlign w:val="center"/>
          </w:tcPr>
          <w:p>
            <w:pPr>
              <w:jc w:val="center"/>
              <w:rPr>
                <w:rFonts w:hint="eastAsia" w:ascii="宋体" w:hAnsi="宋体" w:eastAsia="宋体" w:cs="宋体"/>
                <w:b/>
                <w:bCs/>
                <w:color w:val="000000"/>
                <w:szCs w:val="20"/>
              </w:rPr>
            </w:pPr>
            <w:r>
              <w:rPr>
                <w:rFonts w:hint="eastAsia" w:ascii="宋体" w:hAnsi="宋体" w:eastAsia="宋体" w:cs="宋体"/>
                <w:b/>
                <w:bCs/>
                <w:color w:val="000000"/>
                <w:szCs w:val="20"/>
              </w:rPr>
              <w:t>2026</w:t>
            </w:r>
          </w:p>
        </w:tc>
        <w:tc>
          <w:tcPr>
            <w:tcW w:w="653" w:type="pct"/>
            <w:shd w:val="clear" w:color="auto" w:fill="D8D8D8" w:themeFill="background1" w:themeFillShade="D9"/>
            <w:vAlign w:val="center"/>
          </w:tcPr>
          <w:p>
            <w:pPr>
              <w:jc w:val="center"/>
              <w:rPr>
                <w:rFonts w:hint="eastAsia" w:ascii="宋体" w:hAnsi="宋体" w:eastAsia="宋体" w:cs="宋体"/>
                <w:b/>
                <w:bCs/>
                <w:color w:val="000000"/>
                <w:szCs w:val="20"/>
              </w:rPr>
            </w:pPr>
            <w:r>
              <w:rPr>
                <w:rFonts w:hint="eastAsia" w:ascii="宋体" w:hAnsi="宋体" w:eastAsia="宋体" w:cs="宋体"/>
                <w:b/>
                <w:bCs/>
                <w:color w:val="000000"/>
                <w:szCs w:val="20"/>
              </w:rPr>
              <w:t>2027</w:t>
            </w:r>
          </w:p>
        </w:tc>
        <w:tc>
          <w:tcPr>
            <w:tcW w:w="653" w:type="pct"/>
            <w:shd w:val="clear" w:color="auto" w:fill="D8D8D8" w:themeFill="background1" w:themeFillShade="D9"/>
            <w:vAlign w:val="center"/>
          </w:tcPr>
          <w:p>
            <w:pPr>
              <w:jc w:val="center"/>
              <w:rPr>
                <w:rFonts w:hint="eastAsia" w:ascii="宋体" w:hAnsi="宋体" w:eastAsia="宋体" w:cs="宋体"/>
                <w:b/>
                <w:bCs/>
                <w:color w:val="000000"/>
                <w:szCs w:val="20"/>
              </w:rPr>
            </w:pPr>
            <w:r>
              <w:rPr>
                <w:rFonts w:hint="eastAsia" w:ascii="宋体" w:hAnsi="宋体" w:eastAsia="宋体" w:cs="宋体"/>
                <w:b/>
                <w:bCs/>
                <w:color w:val="000000"/>
                <w:szCs w:val="20"/>
              </w:rPr>
              <w:t>2028</w:t>
            </w:r>
          </w:p>
        </w:tc>
        <w:tc>
          <w:tcPr>
            <w:tcW w:w="649" w:type="pct"/>
            <w:shd w:val="clear" w:color="auto" w:fill="D8D8D8" w:themeFill="background1" w:themeFillShade="D9"/>
            <w:vAlign w:val="center"/>
          </w:tcPr>
          <w:p>
            <w:pPr>
              <w:jc w:val="center"/>
              <w:rPr>
                <w:rFonts w:hint="eastAsia" w:ascii="宋体" w:hAnsi="宋体" w:eastAsia="宋体" w:cs="宋体"/>
                <w:b/>
                <w:bCs/>
                <w:color w:val="000000"/>
                <w:szCs w:val="20"/>
              </w:rPr>
            </w:pPr>
            <w:r>
              <w:rPr>
                <w:rFonts w:hint="eastAsia" w:ascii="宋体" w:hAnsi="宋体" w:eastAsia="宋体" w:cs="宋体"/>
                <w:b/>
                <w:bCs/>
                <w:color w:val="000000"/>
                <w:szCs w:val="20"/>
              </w:rPr>
              <w:t>2029</w:t>
            </w:r>
          </w:p>
        </w:tc>
        <w:tc>
          <w:tcPr>
            <w:tcW w:w="649" w:type="pct"/>
            <w:shd w:val="clear" w:color="auto" w:fill="D8D8D8" w:themeFill="background1" w:themeFillShade="D9"/>
            <w:vAlign w:val="center"/>
          </w:tcPr>
          <w:p>
            <w:pPr>
              <w:jc w:val="center"/>
              <w:rPr>
                <w:rFonts w:hint="eastAsia" w:ascii="宋体" w:hAnsi="宋体" w:eastAsia="宋体" w:cs="宋体"/>
                <w:b/>
                <w:bCs/>
                <w:color w:val="000000"/>
                <w:szCs w:val="20"/>
              </w:rPr>
            </w:pPr>
            <w:r>
              <w:rPr>
                <w:rFonts w:hint="eastAsia" w:ascii="宋体" w:hAnsi="宋体" w:eastAsia="宋体" w:cs="宋体"/>
                <w:b/>
                <w:bCs/>
                <w:color w:val="000000"/>
                <w:szCs w:val="20"/>
              </w:rPr>
              <w:t>2030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9" w:type="pct"/>
            <w:shd w:val="clear" w:color="000000" w:fill="FFFFFF"/>
            <w:vAlign w:val="center"/>
          </w:tcPr>
          <w:p>
            <w:pPr>
              <w:rPr>
                <w:rFonts w:hint="eastAsia" w:ascii="宋体" w:hAnsi="宋体" w:eastAsia="宋体" w:cs="宋体"/>
                <w:color w:val="000000"/>
                <w:szCs w:val="20"/>
              </w:rPr>
            </w:pPr>
            <w:r>
              <w:rPr>
                <w:rFonts w:hint="eastAsia" w:ascii="宋体" w:hAnsi="宋体" w:eastAsia="宋体" w:cs="宋体"/>
                <w:color w:val="000000"/>
                <w:szCs w:val="20"/>
              </w:rPr>
              <w:t>期初专项债券余额</w:t>
            </w:r>
          </w:p>
        </w:tc>
        <w:tc>
          <w:tcPr>
            <w:tcW w:w="654" w:type="pct"/>
            <w:shd w:val="clear" w:color="000000" w:fill="FFFFFF"/>
            <w:vAlign w:val="center"/>
          </w:tcPr>
          <w:p>
            <w:pPr>
              <w:jc w:val="right"/>
              <w:rPr>
                <w:rFonts w:hint="eastAsia" w:ascii="宋体" w:hAnsi="宋体" w:eastAsia="宋体" w:cs="宋体"/>
                <w:color w:val="000000"/>
                <w:szCs w:val="20"/>
              </w:rPr>
            </w:pPr>
            <w:r>
              <w:rPr>
                <w:rFonts w:hint="eastAsia" w:ascii="宋体" w:hAnsi="宋体" w:eastAsia="宋体" w:cs="宋体"/>
              </w:rPr>
              <w:t>-</w:t>
            </w:r>
          </w:p>
        </w:tc>
        <w:tc>
          <w:tcPr>
            <w:tcW w:w="653" w:type="pct"/>
            <w:shd w:val="clear" w:color="000000" w:fill="FFFFFF"/>
            <w:vAlign w:val="center"/>
          </w:tcPr>
          <w:p>
            <w:pPr>
              <w:jc w:val="right"/>
              <w:rPr>
                <w:rFonts w:hint="eastAsia" w:ascii="宋体" w:hAnsi="宋体" w:eastAsia="宋体" w:cs="宋体"/>
                <w:color w:val="000000"/>
                <w:szCs w:val="20"/>
              </w:rPr>
            </w:pPr>
            <w:r>
              <w:rPr>
                <w:rFonts w:hint="eastAsia" w:ascii="宋体" w:hAnsi="宋体" w:eastAsia="宋体" w:cs="宋体"/>
              </w:rPr>
              <w:t>1,000.00</w:t>
            </w:r>
          </w:p>
        </w:tc>
        <w:tc>
          <w:tcPr>
            <w:tcW w:w="653" w:type="pct"/>
            <w:shd w:val="clear" w:color="000000" w:fill="FFFFFF"/>
            <w:vAlign w:val="center"/>
          </w:tcPr>
          <w:p>
            <w:pPr>
              <w:jc w:val="right"/>
              <w:rPr>
                <w:rFonts w:hint="eastAsia" w:ascii="宋体" w:hAnsi="宋体" w:eastAsia="宋体" w:cs="宋体"/>
                <w:color w:val="000000"/>
                <w:szCs w:val="20"/>
              </w:rPr>
            </w:pPr>
            <w:r>
              <w:rPr>
                <w:rFonts w:hint="eastAsia" w:ascii="宋体" w:hAnsi="宋体" w:eastAsia="宋体" w:cs="宋体"/>
              </w:rPr>
              <w:t>1,000.00</w:t>
            </w:r>
          </w:p>
        </w:tc>
        <w:tc>
          <w:tcPr>
            <w:tcW w:w="653" w:type="pct"/>
            <w:shd w:val="clear" w:color="000000" w:fill="FFFFFF"/>
            <w:vAlign w:val="center"/>
          </w:tcPr>
          <w:p>
            <w:pPr>
              <w:jc w:val="right"/>
              <w:rPr>
                <w:rFonts w:hint="eastAsia" w:ascii="宋体" w:hAnsi="宋体" w:eastAsia="宋体" w:cs="宋体"/>
                <w:color w:val="000000"/>
                <w:szCs w:val="20"/>
              </w:rPr>
            </w:pPr>
            <w:r>
              <w:rPr>
                <w:rFonts w:hint="eastAsia" w:ascii="宋体" w:hAnsi="宋体" w:eastAsia="宋体" w:cs="宋体"/>
              </w:rPr>
              <w:t>1,000.00</w:t>
            </w:r>
          </w:p>
        </w:tc>
        <w:tc>
          <w:tcPr>
            <w:tcW w:w="649" w:type="pct"/>
            <w:shd w:val="clear" w:color="000000" w:fill="FFFFFF"/>
            <w:vAlign w:val="center"/>
          </w:tcPr>
          <w:p>
            <w:pPr>
              <w:jc w:val="right"/>
              <w:rPr>
                <w:rFonts w:hint="eastAsia" w:ascii="宋体" w:hAnsi="宋体" w:eastAsia="宋体" w:cs="宋体"/>
                <w:color w:val="000000"/>
                <w:szCs w:val="20"/>
              </w:rPr>
            </w:pPr>
            <w:r>
              <w:rPr>
                <w:rFonts w:hint="eastAsia" w:ascii="宋体" w:hAnsi="宋体" w:eastAsia="宋体" w:cs="宋体"/>
              </w:rPr>
              <w:t>1,000.00</w:t>
            </w:r>
          </w:p>
        </w:tc>
        <w:tc>
          <w:tcPr>
            <w:tcW w:w="649" w:type="pct"/>
            <w:shd w:val="clear" w:color="000000" w:fill="FFFFFF"/>
            <w:vAlign w:val="center"/>
          </w:tcPr>
          <w:p>
            <w:pPr>
              <w:jc w:val="right"/>
              <w:rPr>
                <w:rFonts w:hint="eastAsia" w:ascii="宋体" w:hAnsi="宋体" w:eastAsia="宋体" w:cs="宋体"/>
                <w:color w:val="000000"/>
                <w:szCs w:val="20"/>
              </w:rPr>
            </w:pPr>
            <w:r>
              <w:rPr>
                <w:rFonts w:hint="eastAsia" w:ascii="宋体" w:hAnsi="宋体" w:eastAsia="宋体" w:cs="宋体"/>
              </w:rPr>
              <w:t>1,000.00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9" w:type="pct"/>
            <w:shd w:val="clear" w:color="000000" w:fill="FFFFFF"/>
            <w:vAlign w:val="center"/>
          </w:tcPr>
          <w:p>
            <w:pPr>
              <w:rPr>
                <w:rFonts w:hint="eastAsia" w:ascii="宋体" w:hAnsi="宋体" w:eastAsia="宋体" w:cs="宋体"/>
                <w:color w:val="000000"/>
                <w:szCs w:val="20"/>
              </w:rPr>
            </w:pPr>
            <w:r>
              <w:rPr>
                <w:rFonts w:hint="eastAsia" w:ascii="宋体" w:hAnsi="宋体" w:eastAsia="宋体" w:cs="宋体"/>
                <w:color w:val="000000"/>
                <w:szCs w:val="20"/>
              </w:rPr>
              <w:t>本期专项债券调增</w:t>
            </w:r>
          </w:p>
        </w:tc>
        <w:tc>
          <w:tcPr>
            <w:tcW w:w="654" w:type="pct"/>
            <w:shd w:val="clear" w:color="000000" w:fill="FFFFFF"/>
            <w:vAlign w:val="center"/>
          </w:tcPr>
          <w:p>
            <w:pPr>
              <w:jc w:val="right"/>
              <w:rPr>
                <w:rFonts w:hint="eastAsia" w:ascii="宋体" w:hAnsi="宋体" w:eastAsia="宋体" w:cs="宋体"/>
                <w:color w:val="000000"/>
                <w:szCs w:val="20"/>
              </w:rPr>
            </w:pPr>
            <w:r>
              <w:rPr>
                <w:rFonts w:hint="eastAsia" w:ascii="宋体" w:hAnsi="宋体" w:eastAsia="宋体" w:cs="宋体"/>
              </w:rPr>
              <w:t>1,000.00</w:t>
            </w:r>
          </w:p>
        </w:tc>
        <w:tc>
          <w:tcPr>
            <w:tcW w:w="653" w:type="pct"/>
            <w:shd w:val="clear" w:color="000000" w:fill="FFFFFF"/>
            <w:vAlign w:val="center"/>
          </w:tcPr>
          <w:p>
            <w:pPr>
              <w:jc w:val="right"/>
              <w:rPr>
                <w:rFonts w:hint="eastAsia" w:ascii="宋体" w:hAnsi="宋体" w:eastAsia="宋体" w:cs="宋体"/>
                <w:color w:val="000000"/>
                <w:szCs w:val="20"/>
              </w:rPr>
            </w:pPr>
            <w:r>
              <w:rPr>
                <w:rFonts w:hint="eastAsia" w:ascii="宋体" w:hAnsi="宋体" w:eastAsia="宋体" w:cs="宋体"/>
              </w:rPr>
              <w:t>-</w:t>
            </w:r>
          </w:p>
        </w:tc>
        <w:tc>
          <w:tcPr>
            <w:tcW w:w="653" w:type="pct"/>
            <w:shd w:val="clear" w:color="000000" w:fill="FFFFFF"/>
            <w:vAlign w:val="center"/>
          </w:tcPr>
          <w:p>
            <w:pPr>
              <w:jc w:val="right"/>
              <w:rPr>
                <w:rFonts w:hint="eastAsia" w:ascii="宋体" w:hAnsi="宋体" w:eastAsia="宋体" w:cs="宋体"/>
                <w:color w:val="000000"/>
                <w:szCs w:val="20"/>
              </w:rPr>
            </w:pPr>
            <w:r>
              <w:rPr>
                <w:rFonts w:hint="eastAsia" w:ascii="宋体" w:hAnsi="宋体" w:eastAsia="宋体" w:cs="宋体"/>
              </w:rPr>
              <w:t>-</w:t>
            </w:r>
          </w:p>
        </w:tc>
        <w:tc>
          <w:tcPr>
            <w:tcW w:w="653" w:type="pct"/>
            <w:shd w:val="clear" w:color="000000" w:fill="FFFFFF"/>
            <w:vAlign w:val="center"/>
          </w:tcPr>
          <w:p>
            <w:pPr>
              <w:jc w:val="right"/>
              <w:rPr>
                <w:rFonts w:hint="eastAsia" w:ascii="宋体" w:hAnsi="宋体" w:eastAsia="宋体" w:cs="宋体"/>
                <w:color w:val="000000"/>
                <w:szCs w:val="20"/>
              </w:rPr>
            </w:pPr>
            <w:r>
              <w:rPr>
                <w:rFonts w:hint="eastAsia" w:ascii="宋体" w:hAnsi="宋体" w:eastAsia="宋体" w:cs="宋体"/>
              </w:rPr>
              <w:t>-</w:t>
            </w:r>
          </w:p>
        </w:tc>
        <w:tc>
          <w:tcPr>
            <w:tcW w:w="649" w:type="pct"/>
            <w:shd w:val="clear" w:color="000000" w:fill="FFFFFF"/>
            <w:vAlign w:val="center"/>
          </w:tcPr>
          <w:p>
            <w:pPr>
              <w:jc w:val="right"/>
              <w:rPr>
                <w:rFonts w:hint="eastAsia" w:ascii="宋体" w:hAnsi="宋体" w:eastAsia="宋体" w:cs="宋体"/>
                <w:color w:val="000000"/>
                <w:szCs w:val="20"/>
              </w:rPr>
            </w:pPr>
            <w:r>
              <w:rPr>
                <w:rFonts w:hint="eastAsia" w:ascii="宋体" w:hAnsi="宋体" w:eastAsia="宋体" w:cs="宋体"/>
              </w:rPr>
              <w:t>-</w:t>
            </w:r>
          </w:p>
        </w:tc>
        <w:tc>
          <w:tcPr>
            <w:tcW w:w="649" w:type="pct"/>
            <w:shd w:val="clear" w:color="000000" w:fill="FFFFFF"/>
            <w:vAlign w:val="center"/>
          </w:tcPr>
          <w:p>
            <w:pPr>
              <w:jc w:val="right"/>
              <w:rPr>
                <w:rFonts w:hint="eastAsia" w:ascii="宋体" w:hAnsi="宋体" w:eastAsia="宋体" w:cs="宋体"/>
                <w:color w:val="000000"/>
                <w:szCs w:val="20"/>
              </w:rPr>
            </w:pPr>
            <w:r>
              <w:rPr>
                <w:rFonts w:hint="eastAsia" w:ascii="宋体" w:hAnsi="宋体" w:eastAsia="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9" w:type="pct"/>
            <w:shd w:val="clear" w:color="000000" w:fill="FFFFFF"/>
            <w:vAlign w:val="center"/>
          </w:tcPr>
          <w:p>
            <w:pPr>
              <w:rPr>
                <w:rFonts w:hint="eastAsia" w:ascii="宋体" w:hAnsi="宋体" w:eastAsia="宋体" w:cs="宋体"/>
                <w:color w:val="000000"/>
                <w:szCs w:val="20"/>
              </w:rPr>
            </w:pPr>
            <w:r>
              <w:rPr>
                <w:rFonts w:hint="eastAsia" w:ascii="宋体" w:hAnsi="宋体" w:eastAsia="宋体" w:cs="宋体"/>
                <w:color w:val="000000"/>
                <w:szCs w:val="20"/>
              </w:rPr>
              <w:t>利息支出</w:t>
            </w:r>
          </w:p>
        </w:tc>
        <w:tc>
          <w:tcPr>
            <w:tcW w:w="654" w:type="pct"/>
            <w:shd w:val="clear" w:color="000000" w:fill="FFFFFF"/>
            <w:vAlign w:val="center"/>
          </w:tcPr>
          <w:p>
            <w:pPr>
              <w:jc w:val="right"/>
              <w:rPr>
                <w:rFonts w:hint="eastAsia" w:ascii="宋体" w:hAnsi="宋体" w:eastAsia="宋体" w:cs="宋体"/>
                <w:color w:val="000000"/>
                <w:szCs w:val="20"/>
              </w:rPr>
            </w:pPr>
            <w:r>
              <w:rPr>
                <w:rFonts w:hint="eastAsia" w:ascii="宋体" w:hAnsi="宋体" w:eastAsia="宋体" w:cs="宋体"/>
              </w:rPr>
              <w:t>8.80</w:t>
            </w:r>
          </w:p>
        </w:tc>
        <w:tc>
          <w:tcPr>
            <w:tcW w:w="653" w:type="pct"/>
            <w:shd w:val="clear" w:color="000000" w:fill="FFFFFF"/>
            <w:vAlign w:val="center"/>
          </w:tcPr>
          <w:p>
            <w:pPr>
              <w:jc w:val="right"/>
              <w:rPr>
                <w:rFonts w:hint="eastAsia" w:ascii="宋体" w:hAnsi="宋体" w:eastAsia="宋体" w:cs="宋体"/>
                <w:color w:val="000000"/>
                <w:szCs w:val="20"/>
              </w:rPr>
            </w:pPr>
            <w:r>
              <w:rPr>
                <w:rFonts w:hint="eastAsia" w:ascii="宋体" w:hAnsi="宋体" w:eastAsia="宋体" w:cs="宋体"/>
              </w:rPr>
              <w:t>17.60</w:t>
            </w:r>
          </w:p>
        </w:tc>
        <w:tc>
          <w:tcPr>
            <w:tcW w:w="653" w:type="pct"/>
            <w:shd w:val="clear" w:color="000000" w:fill="FFFFFF"/>
            <w:vAlign w:val="center"/>
          </w:tcPr>
          <w:p>
            <w:pPr>
              <w:jc w:val="right"/>
              <w:rPr>
                <w:rFonts w:hint="eastAsia" w:ascii="宋体" w:hAnsi="宋体" w:eastAsia="宋体" w:cs="宋体"/>
                <w:color w:val="000000"/>
                <w:szCs w:val="20"/>
              </w:rPr>
            </w:pPr>
            <w:r>
              <w:rPr>
                <w:rFonts w:hint="eastAsia" w:ascii="宋体" w:hAnsi="宋体" w:eastAsia="宋体" w:cs="宋体"/>
              </w:rPr>
              <w:t>17.60</w:t>
            </w:r>
          </w:p>
        </w:tc>
        <w:tc>
          <w:tcPr>
            <w:tcW w:w="653" w:type="pct"/>
            <w:shd w:val="clear" w:color="000000" w:fill="FFFFFF"/>
            <w:vAlign w:val="center"/>
          </w:tcPr>
          <w:p>
            <w:pPr>
              <w:jc w:val="right"/>
              <w:rPr>
                <w:rFonts w:hint="eastAsia" w:ascii="宋体" w:hAnsi="宋体" w:eastAsia="宋体" w:cs="宋体"/>
                <w:color w:val="000000"/>
                <w:szCs w:val="20"/>
              </w:rPr>
            </w:pPr>
            <w:r>
              <w:rPr>
                <w:rFonts w:hint="eastAsia" w:ascii="宋体" w:hAnsi="宋体" w:eastAsia="宋体" w:cs="宋体"/>
              </w:rPr>
              <w:t>17.60</w:t>
            </w:r>
          </w:p>
        </w:tc>
        <w:tc>
          <w:tcPr>
            <w:tcW w:w="649" w:type="pct"/>
            <w:shd w:val="clear" w:color="000000" w:fill="FFFFFF"/>
            <w:vAlign w:val="center"/>
          </w:tcPr>
          <w:p>
            <w:pPr>
              <w:jc w:val="right"/>
              <w:rPr>
                <w:rFonts w:hint="eastAsia" w:ascii="宋体" w:hAnsi="宋体" w:eastAsia="宋体" w:cs="宋体"/>
                <w:color w:val="000000"/>
                <w:szCs w:val="20"/>
              </w:rPr>
            </w:pPr>
            <w:r>
              <w:rPr>
                <w:rFonts w:hint="eastAsia" w:ascii="宋体" w:hAnsi="宋体" w:eastAsia="宋体" w:cs="宋体"/>
              </w:rPr>
              <w:t>17.60</w:t>
            </w:r>
          </w:p>
        </w:tc>
        <w:tc>
          <w:tcPr>
            <w:tcW w:w="649" w:type="pct"/>
            <w:shd w:val="clear" w:color="000000" w:fill="FFFFFF"/>
            <w:vAlign w:val="center"/>
          </w:tcPr>
          <w:p>
            <w:pPr>
              <w:jc w:val="right"/>
              <w:rPr>
                <w:rFonts w:hint="eastAsia" w:ascii="宋体" w:hAnsi="宋体" w:eastAsia="宋体" w:cs="宋体"/>
                <w:color w:val="000000"/>
                <w:szCs w:val="20"/>
              </w:rPr>
            </w:pPr>
            <w:r>
              <w:rPr>
                <w:rFonts w:hint="eastAsia" w:ascii="宋体" w:hAnsi="宋体" w:eastAsia="宋体" w:cs="宋体"/>
              </w:rPr>
              <w:t>17.60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9" w:type="pct"/>
            <w:shd w:val="clear" w:color="000000" w:fill="FFFFFF"/>
            <w:vAlign w:val="center"/>
          </w:tcPr>
          <w:p>
            <w:pPr>
              <w:rPr>
                <w:rFonts w:hint="eastAsia" w:ascii="宋体" w:hAnsi="宋体" w:eastAsia="宋体" w:cs="宋体"/>
                <w:color w:val="000000"/>
                <w:szCs w:val="20"/>
              </w:rPr>
            </w:pPr>
            <w:r>
              <w:rPr>
                <w:rFonts w:hint="eastAsia" w:ascii="宋体" w:hAnsi="宋体" w:eastAsia="宋体" w:cs="宋体"/>
                <w:color w:val="000000"/>
                <w:szCs w:val="20"/>
              </w:rPr>
              <w:t>本期还款</w:t>
            </w:r>
          </w:p>
        </w:tc>
        <w:tc>
          <w:tcPr>
            <w:tcW w:w="654" w:type="pct"/>
            <w:shd w:val="clear" w:color="000000" w:fill="FFFFFF"/>
            <w:vAlign w:val="center"/>
          </w:tcPr>
          <w:p>
            <w:pPr>
              <w:jc w:val="right"/>
              <w:rPr>
                <w:rFonts w:hint="eastAsia" w:ascii="宋体" w:hAnsi="宋体" w:eastAsia="宋体" w:cs="宋体"/>
                <w:color w:val="000000"/>
                <w:szCs w:val="20"/>
              </w:rPr>
            </w:pPr>
            <w:r>
              <w:rPr>
                <w:rFonts w:hint="eastAsia" w:ascii="宋体" w:hAnsi="宋体" w:eastAsia="宋体" w:cs="宋体"/>
              </w:rPr>
              <w:t>8.80</w:t>
            </w:r>
          </w:p>
        </w:tc>
        <w:tc>
          <w:tcPr>
            <w:tcW w:w="653" w:type="pct"/>
            <w:shd w:val="clear" w:color="000000" w:fill="FFFFFF"/>
            <w:vAlign w:val="center"/>
          </w:tcPr>
          <w:p>
            <w:pPr>
              <w:jc w:val="right"/>
              <w:rPr>
                <w:rFonts w:hint="eastAsia" w:ascii="宋体" w:hAnsi="宋体" w:eastAsia="宋体" w:cs="宋体"/>
                <w:color w:val="000000"/>
                <w:szCs w:val="20"/>
              </w:rPr>
            </w:pPr>
            <w:r>
              <w:rPr>
                <w:rFonts w:hint="eastAsia" w:ascii="宋体" w:hAnsi="宋体" w:eastAsia="宋体" w:cs="宋体"/>
              </w:rPr>
              <w:t>17.60</w:t>
            </w:r>
          </w:p>
        </w:tc>
        <w:tc>
          <w:tcPr>
            <w:tcW w:w="653" w:type="pct"/>
            <w:shd w:val="clear" w:color="000000" w:fill="FFFFFF"/>
            <w:vAlign w:val="center"/>
          </w:tcPr>
          <w:p>
            <w:pPr>
              <w:jc w:val="right"/>
              <w:rPr>
                <w:rFonts w:hint="eastAsia" w:ascii="宋体" w:hAnsi="宋体" w:eastAsia="宋体" w:cs="宋体"/>
                <w:color w:val="000000"/>
                <w:szCs w:val="20"/>
              </w:rPr>
            </w:pPr>
            <w:r>
              <w:rPr>
                <w:rFonts w:hint="eastAsia" w:ascii="宋体" w:hAnsi="宋体" w:eastAsia="宋体" w:cs="宋体"/>
              </w:rPr>
              <w:t>17.60</w:t>
            </w:r>
          </w:p>
        </w:tc>
        <w:tc>
          <w:tcPr>
            <w:tcW w:w="653" w:type="pct"/>
            <w:shd w:val="clear" w:color="000000" w:fill="FFFFFF"/>
            <w:vAlign w:val="center"/>
          </w:tcPr>
          <w:p>
            <w:pPr>
              <w:jc w:val="right"/>
              <w:rPr>
                <w:rFonts w:hint="eastAsia" w:ascii="宋体" w:hAnsi="宋体" w:eastAsia="宋体" w:cs="宋体"/>
                <w:color w:val="000000"/>
                <w:szCs w:val="20"/>
              </w:rPr>
            </w:pPr>
            <w:r>
              <w:rPr>
                <w:rFonts w:hint="eastAsia" w:ascii="宋体" w:hAnsi="宋体" w:eastAsia="宋体" w:cs="宋体"/>
              </w:rPr>
              <w:t>17.60</w:t>
            </w:r>
          </w:p>
        </w:tc>
        <w:tc>
          <w:tcPr>
            <w:tcW w:w="649" w:type="pct"/>
            <w:shd w:val="clear" w:color="000000" w:fill="FFFFFF"/>
            <w:vAlign w:val="center"/>
          </w:tcPr>
          <w:p>
            <w:pPr>
              <w:jc w:val="right"/>
              <w:rPr>
                <w:rFonts w:hint="eastAsia" w:ascii="宋体" w:hAnsi="宋体" w:eastAsia="宋体" w:cs="宋体"/>
                <w:color w:val="000000"/>
                <w:szCs w:val="20"/>
              </w:rPr>
            </w:pPr>
            <w:r>
              <w:rPr>
                <w:rFonts w:hint="eastAsia" w:ascii="宋体" w:hAnsi="宋体" w:eastAsia="宋体" w:cs="宋体"/>
              </w:rPr>
              <w:t>17.60</w:t>
            </w:r>
          </w:p>
        </w:tc>
        <w:tc>
          <w:tcPr>
            <w:tcW w:w="649" w:type="pct"/>
            <w:shd w:val="clear" w:color="000000" w:fill="FFFFFF"/>
            <w:vAlign w:val="center"/>
          </w:tcPr>
          <w:p>
            <w:pPr>
              <w:jc w:val="right"/>
              <w:rPr>
                <w:rFonts w:hint="eastAsia" w:ascii="宋体" w:hAnsi="宋体" w:eastAsia="宋体" w:cs="宋体"/>
                <w:color w:val="000000"/>
                <w:szCs w:val="20"/>
              </w:rPr>
            </w:pPr>
            <w:r>
              <w:rPr>
                <w:rFonts w:hint="eastAsia" w:ascii="宋体" w:hAnsi="宋体" w:eastAsia="宋体" w:cs="宋体"/>
              </w:rPr>
              <w:t>17.60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9" w:type="pct"/>
            <w:shd w:val="clear" w:color="000000" w:fill="FFFFFF"/>
            <w:vAlign w:val="center"/>
          </w:tcPr>
          <w:p>
            <w:pPr>
              <w:rPr>
                <w:rFonts w:hint="eastAsia" w:ascii="宋体" w:hAnsi="宋体" w:eastAsia="宋体" w:cs="宋体"/>
                <w:color w:val="000000"/>
                <w:szCs w:val="20"/>
              </w:rPr>
            </w:pPr>
            <w:r>
              <w:rPr>
                <w:rFonts w:hint="eastAsia" w:ascii="宋体" w:hAnsi="宋体" w:eastAsia="宋体" w:cs="宋体"/>
                <w:color w:val="000000"/>
                <w:szCs w:val="20"/>
              </w:rPr>
              <w:t>其中：还本</w:t>
            </w:r>
          </w:p>
        </w:tc>
        <w:tc>
          <w:tcPr>
            <w:tcW w:w="654" w:type="pct"/>
            <w:shd w:val="clear" w:color="000000" w:fill="FFFFFF"/>
            <w:vAlign w:val="center"/>
          </w:tcPr>
          <w:p>
            <w:pPr>
              <w:jc w:val="right"/>
              <w:rPr>
                <w:rFonts w:hint="eastAsia" w:ascii="宋体" w:hAnsi="宋体" w:eastAsia="宋体" w:cs="宋体"/>
                <w:color w:val="000000"/>
                <w:szCs w:val="20"/>
              </w:rPr>
            </w:pPr>
            <w:r>
              <w:rPr>
                <w:rFonts w:hint="eastAsia" w:ascii="宋体" w:hAnsi="宋体" w:eastAsia="宋体" w:cs="宋体"/>
              </w:rPr>
              <w:t>-</w:t>
            </w:r>
          </w:p>
        </w:tc>
        <w:tc>
          <w:tcPr>
            <w:tcW w:w="653" w:type="pct"/>
            <w:shd w:val="clear" w:color="000000" w:fill="FFFFFF"/>
            <w:vAlign w:val="center"/>
          </w:tcPr>
          <w:p>
            <w:pPr>
              <w:jc w:val="right"/>
              <w:rPr>
                <w:rFonts w:hint="eastAsia" w:ascii="宋体" w:hAnsi="宋体" w:eastAsia="宋体" w:cs="宋体"/>
                <w:color w:val="000000"/>
                <w:szCs w:val="20"/>
              </w:rPr>
            </w:pPr>
            <w:r>
              <w:rPr>
                <w:rFonts w:hint="eastAsia" w:ascii="宋体" w:hAnsi="宋体" w:eastAsia="宋体" w:cs="宋体"/>
              </w:rPr>
              <w:t>-</w:t>
            </w:r>
          </w:p>
        </w:tc>
        <w:tc>
          <w:tcPr>
            <w:tcW w:w="653" w:type="pct"/>
            <w:shd w:val="clear" w:color="000000" w:fill="FFFFFF"/>
            <w:vAlign w:val="center"/>
          </w:tcPr>
          <w:p>
            <w:pPr>
              <w:jc w:val="right"/>
              <w:rPr>
                <w:rFonts w:hint="eastAsia" w:ascii="宋体" w:hAnsi="宋体" w:eastAsia="宋体" w:cs="宋体"/>
                <w:color w:val="000000"/>
                <w:szCs w:val="20"/>
              </w:rPr>
            </w:pPr>
            <w:r>
              <w:rPr>
                <w:rFonts w:hint="eastAsia" w:ascii="宋体" w:hAnsi="宋体" w:eastAsia="宋体" w:cs="宋体"/>
              </w:rPr>
              <w:t>-</w:t>
            </w:r>
          </w:p>
        </w:tc>
        <w:tc>
          <w:tcPr>
            <w:tcW w:w="653" w:type="pct"/>
            <w:shd w:val="clear" w:color="000000" w:fill="FFFFFF"/>
            <w:vAlign w:val="center"/>
          </w:tcPr>
          <w:p>
            <w:pPr>
              <w:jc w:val="right"/>
              <w:rPr>
                <w:rFonts w:hint="eastAsia" w:ascii="宋体" w:hAnsi="宋体" w:eastAsia="宋体" w:cs="宋体"/>
                <w:color w:val="000000"/>
                <w:szCs w:val="20"/>
              </w:rPr>
            </w:pPr>
            <w:r>
              <w:rPr>
                <w:rFonts w:hint="eastAsia" w:ascii="宋体" w:hAnsi="宋体" w:eastAsia="宋体" w:cs="宋体"/>
              </w:rPr>
              <w:t>-</w:t>
            </w:r>
          </w:p>
        </w:tc>
        <w:tc>
          <w:tcPr>
            <w:tcW w:w="649" w:type="pct"/>
            <w:shd w:val="clear" w:color="000000" w:fill="FFFFFF"/>
            <w:vAlign w:val="center"/>
          </w:tcPr>
          <w:p>
            <w:pPr>
              <w:jc w:val="right"/>
              <w:rPr>
                <w:rFonts w:hint="eastAsia" w:ascii="宋体" w:hAnsi="宋体" w:eastAsia="宋体" w:cs="宋体"/>
                <w:color w:val="000000"/>
                <w:szCs w:val="20"/>
              </w:rPr>
            </w:pPr>
            <w:r>
              <w:rPr>
                <w:rFonts w:hint="eastAsia" w:ascii="宋体" w:hAnsi="宋体" w:eastAsia="宋体" w:cs="宋体"/>
              </w:rPr>
              <w:t>-</w:t>
            </w:r>
          </w:p>
        </w:tc>
        <w:tc>
          <w:tcPr>
            <w:tcW w:w="649" w:type="pct"/>
            <w:shd w:val="clear" w:color="000000" w:fill="FFFFFF"/>
            <w:vAlign w:val="center"/>
          </w:tcPr>
          <w:p>
            <w:pPr>
              <w:jc w:val="right"/>
              <w:rPr>
                <w:rFonts w:hint="eastAsia" w:ascii="宋体" w:hAnsi="宋体" w:eastAsia="宋体" w:cs="宋体"/>
                <w:color w:val="000000"/>
                <w:szCs w:val="20"/>
              </w:rPr>
            </w:pPr>
            <w:r>
              <w:rPr>
                <w:rFonts w:hint="eastAsia" w:ascii="宋体" w:hAnsi="宋体" w:eastAsia="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9" w:type="pct"/>
            <w:shd w:val="clear" w:color="000000" w:fill="FFFFFF"/>
            <w:vAlign w:val="center"/>
          </w:tcPr>
          <w:p>
            <w:pPr>
              <w:rPr>
                <w:rFonts w:hint="eastAsia" w:ascii="宋体" w:hAnsi="宋体" w:eastAsia="宋体" w:cs="宋体"/>
                <w:color w:val="000000"/>
                <w:szCs w:val="20"/>
              </w:rPr>
            </w:pPr>
            <w:r>
              <w:rPr>
                <w:rFonts w:hint="eastAsia" w:ascii="宋体" w:hAnsi="宋体" w:eastAsia="宋体" w:cs="宋体"/>
                <w:color w:val="000000"/>
                <w:szCs w:val="20"/>
              </w:rPr>
              <w:t>付息</w:t>
            </w:r>
          </w:p>
        </w:tc>
        <w:tc>
          <w:tcPr>
            <w:tcW w:w="654" w:type="pct"/>
            <w:shd w:val="clear" w:color="000000" w:fill="FFFFFF"/>
            <w:vAlign w:val="center"/>
          </w:tcPr>
          <w:p>
            <w:pPr>
              <w:jc w:val="right"/>
              <w:rPr>
                <w:rFonts w:hint="eastAsia" w:ascii="宋体" w:hAnsi="宋体" w:eastAsia="宋体" w:cs="宋体"/>
                <w:color w:val="000000"/>
                <w:szCs w:val="20"/>
              </w:rPr>
            </w:pPr>
            <w:r>
              <w:rPr>
                <w:rFonts w:hint="eastAsia" w:ascii="宋体" w:hAnsi="宋体" w:eastAsia="宋体" w:cs="宋体"/>
              </w:rPr>
              <w:t>8.80</w:t>
            </w:r>
          </w:p>
        </w:tc>
        <w:tc>
          <w:tcPr>
            <w:tcW w:w="653" w:type="pct"/>
            <w:shd w:val="clear" w:color="000000" w:fill="FFFFFF"/>
            <w:vAlign w:val="center"/>
          </w:tcPr>
          <w:p>
            <w:pPr>
              <w:jc w:val="right"/>
              <w:rPr>
                <w:rFonts w:hint="eastAsia" w:ascii="宋体" w:hAnsi="宋体" w:eastAsia="宋体" w:cs="宋体"/>
                <w:color w:val="000000"/>
                <w:szCs w:val="20"/>
              </w:rPr>
            </w:pPr>
            <w:r>
              <w:rPr>
                <w:rFonts w:hint="eastAsia" w:ascii="宋体" w:hAnsi="宋体" w:eastAsia="宋体" w:cs="宋体"/>
              </w:rPr>
              <w:t>17.60</w:t>
            </w:r>
          </w:p>
        </w:tc>
        <w:tc>
          <w:tcPr>
            <w:tcW w:w="653" w:type="pct"/>
            <w:shd w:val="clear" w:color="000000" w:fill="FFFFFF"/>
            <w:vAlign w:val="center"/>
          </w:tcPr>
          <w:p>
            <w:pPr>
              <w:jc w:val="right"/>
              <w:rPr>
                <w:rFonts w:hint="eastAsia" w:ascii="宋体" w:hAnsi="宋体" w:eastAsia="宋体" w:cs="宋体"/>
                <w:color w:val="000000"/>
                <w:szCs w:val="20"/>
              </w:rPr>
            </w:pPr>
            <w:r>
              <w:rPr>
                <w:rFonts w:hint="eastAsia" w:ascii="宋体" w:hAnsi="宋体" w:eastAsia="宋体" w:cs="宋体"/>
              </w:rPr>
              <w:t>17.60</w:t>
            </w:r>
          </w:p>
        </w:tc>
        <w:tc>
          <w:tcPr>
            <w:tcW w:w="653" w:type="pct"/>
            <w:shd w:val="clear" w:color="000000" w:fill="FFFFFF"/>
            <w:vAlign w:val="center"/>
          </w:tcPr>
          <w:p>
            <w:pPr>
              <w:jc w:val="right"/>
              <w:rPr>
                <w:rFonts w:hint="eastAsia" w:ascii="宋体" w:hAnsi="宋体" w:eastAsia="宋体" w:cs="宋体"/>
                <w:color w:val="000000"/>
                <w:szCs w:val="20"/>
              </w:rPr>
            </w:pPr>
            <w:r>
              <w:rPr>
                <w:rFonts w:hint="eastAsia" w:ascii="宋体" w:hAnsi="宋体" w:eastAsia="宋体" w:cs="宋体"/>
              </w:rPr>
              <w:t>17.60</w:t>
            </w:r>
          </w:p>
        </w:tc>
        <w:tc>
          <w:tcPr>
            <w:tcW w:w="649" w:type="pct"/>
            <w:shd w:val="clear" w:color="000000" w:fill="FFFFFF"/>
            <w:vAlign w:val="center"/>
          </w:tcPr>
          <w:p>
            <w:pPr>
              <w:jc w:val="right"/>
              <w:rPr>
                <w:rFonts w:hint="eastAsia" w:ascii="宋体" w:hAnsi="宋体" w:eastAsia="宋体" w:cs="宋体"/>
                <w:color w:val="000000"/>
                <w:szCs w:val="20"/>
              </w:rPr>
            </w:pPr>
            <w:r>
              <w:rPr>
                <w:rFonts w:hint="eastAsia" w:ascii="宋体" w:hAnsi="宋体" w:eastAsia="宋体" w:cs="宋体"/>
              </w:rPr>
              <w:t>17.60</w:t>
            </w:r>
          </w:p>
        </w:tc>
        <w:tc>
          <w:tcPr>
            <w:tcW w:w="649" w:type="pct"/>
            <w:shd w:val="clear" w:color="000000" w:fill="FFFFFF"/>
            <w:vAlign w:val="center"/>
          </w:tcPr>
          <w:p>
            <w:pPr>
              <w:jc w:val="right"/>
              <w:rPr>
                <w:rFonts w:hint="eastAsia" w:ascii="宋体" w:hAnsi="宋体" w:eastAsia="宋体" w:cs="宋体"/>
                <w:color w:val="000000"/>
                <w:szCs w:val="20"/>
              </w:rPr>
            </w:pPr>
            <w:r>
              <w:rPr>
                <w:rFonts w:hint="eastAsia" w:ascii="宋体" w:hAnsi="宋体" w:eastAsia="宋体" w:cs="宋体"/>
              </w:rPr>
              <w:t>17.60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9" w:type="pct"/>
            <w:shd w:val="clear" w:color="000000" w:fill="FFFFFF"/>
            <w:vAlign w:val="center"/>
          </w:tcPr>
          <w:p>
            <w:pPr>
              <w:rPr>
                <w:rFonts w:hint="eastAsia" w:ascii="宋体" w:hAnsi="宋体" w:eastAsia="宋体" w:cs="宋体"/>
                <w:color w:val="000000"/>
                <w:szCs w:val="20"/>
              </w:rPr>
            </w:pPr>
            <w:r>
              <w:rPr>
                <w:rFonts w:hint="eastAsia" w:ascii="宋体" w:hAnsi="宋体" w:eastAsia="宋体" w:cs="宋体"/>
                <w:color w:val="000000"/>
                <w:szCs w:val="20"/>
              </w:rPr>
              <w:t>期末专项债券余额</w:t>
            </w:r>
          </w:p>
        </w:tc>
        <w:tc>
          <w:tcPr>
            <w:tcW w:w="654" w:type="pct"/>
            <w:shd w:val="clear" w:color="000000" w:fill="FFFFFF"/>
            <w:vAlign w:val="center"/>
          </w:tcPr>
          <w:p>
            <w:pPr>
              <w:jc w:val="right"/>
              <w:rPr>
                <w:rFonts w:hint="eastAsia" w:ascii="宋体" w:hAnsi="宋体" w:eastAsia="宋体" w:cs="宋体"/>
                <w:color w:val="000000"/>
                <w:szCs w:val="20"/>
              </w:rPr>
            </w:pPr>
            <w:r>
              <w:rPr>
                <w:rFonts w:hint="eastAsia" w:ascii="宋体" w:hAnsi="宋体" w:eastAsia="宋体" w:cs="宋体"/>
              </w:rPr>
              <w:t>1,000.00</w:t>
            </w:r>
          </w:p>
        </w:tc>
        <w:tc>
          <w:tcPr>
            <w:tcW w:w="653" w:type="pct"/>
            <w:shd w:val="clear" w:color="000000" w:fill="FFFFFF"/>
            <w:vAlign w:val="center"/>
          </w:tcPr>
          <w:p>
            <w:pPr>
              <w:jc w:val="right"/>
              <w:rPr>
                <w:rFonts w:hint="eastAsia" w:ascii="宋体" w:hAnsi="宋体" w:eastAsia="宋体" w:cs="宋体"/>
                <w:color w:val="000000"/>
                <w:szCs w:val="20"/>
              </w:rPr>
            </w:pPr>
            <w:r>
              <w:rPr>
                <w:rFonts w:hint="eastAsia" w:ascii="宋体" w:hAnsi="宋体" w:eastAsia="宋体" w:cs="宋体"/>
              </w:rPr>
              <w:t>1,000.00</w:t>
            </w:r>
          </w:p>
        </w:tc>
        <w:tc>
          <w:tcPr>
            <w:tcW w:w="653" w:type="pct"/>
            <w:shd w:val="clear" w:color="000000" w:fill="FFFFFF"/>
            <w:vAlign w:val="center"/>
          </w:tcPr>
          <w:p>
            <w:pPr>
              <w:jc w:val="right"/>
              <w:rPr>
                <w:rFonts w:hint="eastAsia" w:ascii="宋体" w:hAnsi="宋体" w:eastAsia="宋体" w:cs="宋体"/>
                <w:color w:val="000000"/>
                <w:szCs w:val="20"/>
              </w:rPr>
            </w:pPr>
            <w:r>
              <w:rPr>
                <w:rFonts w:hint="eastAsia" w:ascii="宋体" w:hAnsi="宋体" w:eastAsia="宋体" w:cs="宋体"/>
              </w:rPr>
              <w:t>1,000.00</w:t>
            </w:r>
          </w:p>
        </w:tc>
        <w:tc>
          <w:tcPr>
            <w:tcW w:w="653" w:type="pct"/>
            <w:shd w:val="clear" w:color="000000" w:fill="FFFFFF"/>
            <w:vAlign w:val="center"/>
          </w:tcPr>
          <w:p>
            <w:pPr>
              <w:jc w:val="right"/>
              <w:rPr>
                <w:rFonts w:hint="eastAsia" w:ascii="宋体" w:hAnsi="宋体" w:eastAsia="宋体" w:cs="宋体"/>
                <w:color w:val="000000"/>
                <w:szCs w:val="20"/>
              </w:rPr>
            </w:pPr>
            <w:r>
              <w:rPr>
                <w:rFonts w:hint="eastAsia" w:ascii="宋体" w:hAnsi="宋体" w:eastAsia="宋体" w:cs="宋体"/>
              </w:rPr>
              <w:t>1,000.00</w:t>
            </w:r>
          </w:p>
        </w:tc>
        <w:tc>
          <w:tcPr>
            <w:tcW w:w="649" w:type="pct"/>
            <w:shd w:val="clear" w:color="000000" w:fill="FFFFFF"/>
            <w:vAlign w:val="center"/>
          </w:tcPr>
          <w:p>
            <w:pPr>
              <w:jc w:val="right"/>
              <w:rPr>
                <w:rFonts w:hint="eastAsia" w:ascii="宋体" w:hAnsi="宋体" w:eastAsia="宋体" w:cs="宋体"/>
                <w:color w:val="000000"/>
                <w:szCs w:val="20"/>
              </w:rPr>
            </w:pPr>
            <w:r>
              <w:rPr>
                <w:rFonts w:hint="eastAsia" w:ascii="宋体" w:hAnsi="宋体" w:eastAsia="宋体" w:cs="宋体"/>
              </w:rPr>
              <w:t>1,000.00</w:t>
            </w:r>
          </w:p>
        </w:tc>
        <w:tc>
          <w:tcPr>
            <w:tcW w:w="649" w:type="pct"/>
            <w:shd w:val="clear" w:color="000000" w:fill="FFFFFF"/>
            <w:vAlign w:val="center"/>
          </w:tcPr>
          <w:p>
            <w:pPr>
              <w:jc w:val="right"/>
              <w:rPr>
                <w:rFonts w:hint="eastAsia" w:ascii="宋体" w:hAnsi="宋体" w:eastAsia="宋体" w:cs="宋体"/>
                <w:color w:val="000000"/>
                <w:szCs w:val="20"/>
              </w:rPr>
            </w:pPr>
            <w:r>
              <w:rPr>
                <w:rFonts w:hint="eastAsia" w:ascii="宋体" w:hAnsi="宋体" w:eastAsia="宋体" w:cs="宋体"/>
              </w:rPr>
              <w:t>1,000.00</w:t>
            </w:r>
          </w:p>
        </w:tc>
      </w:tr>
    </w:tbl>
    <w:p>
      <w:pPr>
        <w:ind w:firstLine="420" w:firstLineChars="200"/>
        <w:jc w:val="right"/>
        <w:rPr>
          <w:rFonts w:hint="eastAsia" w:ascii="宋体" w:hAnsi="宋体" w:eastAsia="宋体" w:cs="宋体"/>
          <w:szCs w:val="20"/>
          <w:lang w:eastAsia="zh-TW"/>
        </w:rPr>
      </w:pPr>
    </w:p>
    <w:tbl>
      <w:tblPr>
        <w:tblStyle w:val="19"/>
        <w:tblW w:w="497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1877"/>
        <w:gridCol w:w="1093"/>
        <w:gridCol w:w="1093"/>
        <w:gridCol w:w="1093"/>
        <w:gridCol w:w="1093"/>
        <w:gridCol w:w="1059"/>
        <w:gridCol w:w="10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blHeader/>
        </w:trPr>
        <w:tc>
          <w:tcPr>
            <w:tcW w:w="1121" w:type="pct"/>
            <w:shd w:val="clear" w:color="auto" w:fill="D8D8D8" w:themeFill="background1" w:themeFillShade="D9"/>
            <w:vAlign w:val="center"/>
          </w:tcPr>
          <w:p>
            <w:pPr>
              <w:jc w:val="center"/>
              <w:rPr>
                <w:rFonts w:hint="eastAsia" w:ascii="宋体" w:hAnsi="宋体" w:eastAsia="宋体" w:cs="宋体"/>
                <w:b/>
                <w:bCs/>
                <w:color w:val="000000"/>
                <w:szCs w:val="20"/>
              </w:rPr>
            </w:pPr>
            <w:r>
              <w:rPr>
                <w:rFonts w:hint="eastAsia" w:ascii="宋体" w:hAnsi="宋体" w:eastAsia="宋体" w:cs="宋体"/>
                <w:b/>
                <w:bCs/>
                <w:color w:val="000000"/>
                <w:szCs w:val="20"/>
              </w:rPr>
              <w:t>年度</w:t>
            </w:r>
          </w:p>
        </w:tc>
        <w:tc>
          <w:tcPr>
            <w:tcW w:w="653" w:type="pct"/>
            <w:shd w:val="clear" w:color="auto" w:fill="D8D8D8" w:themeFill="background1" w:themeFillShade="D9"/>
            <w:vAlign w:val="center"/>
          </w:tcPr>
          <w:p>
            <w:pPr>
              <w:jc w:val="center"/>
              <w:rPr>
                <w:rFonts w:hint="eastAsia" w:ascii="宋体" w:hAnsi="宋体" w:eastAsia="宋体" w:cs="宋体"/>
                <w:b/>
                <w:bCs/>
                <w:color w:val="000000"/>
                <w:szCs w:val="20"/>
              </w:rPr>
            </w:pPr>
            <w:r>
              <w:rPr>
                <w:rFonts w:hint="eastAsia" w:ascii="宋体" w:hAnsi="宋体" w:eastAsia="宋体" w:cs="宋体"/>
                <w:b/>
                <w:bCs/>
                <w:color w:val="000000"/>
                <w:szCs w:val="20"/>
              </w:rPr>
              <w:t>2031</w:t>
            </w:r>
          </w:p>
        </w:tc>
        <w:tc>
          <w:tcPr>
            <w:tcW w:w="653" w:type="pct"/>
            <w:shd w:val="clear" w:color="auto" w:fill="D8D8D8" w:themeFill="background1" w:themeFillShade="D9"/>
            <w:vAlign w:val="center"/>
          </w:tcPr>
          <w:p>
            <w:pPr>
              <w:jc w:val="center"/>
              <w:rPr>
                <w:rFonts w:hint="eastAsia" w:ascii="宋体" w:hAnsi="宋体" w:eastAsia="宋体" w:cs="宋体"/>
                <w:b/>
                <w:bCs/>
                <w:color w:val="000000"/>
                <w:szCs w:val="20"/>
              </w:rPr>
            </w:pPr>
            <w:r>
              <w:rPr>
                <w:rFonts w:hint="eastAsia" w:ascii="宋体" w:hAnsi="宋体" w:eastAsia="宋体" w:cs="宋体"/>
                <w:b/>
                <w:bCs/>
                <w:color w:val="000000"/>
                <w:szCs w:val="20"/>
              </w:rPr>
              <w:t>2032</w:t>
            </w:r>
          </w:p>
        </w:tc>
        <w:tc>
          <w:tcPr>
            <w:tcW w:w="653" w:type="pct"/>
            <w:shd w:val="clear" w:color="auto" w:fill="D8D8D8" w:themeFill="background1" w:themeFillShade="D9"/>
            <w:vAlign w:val="center"/>
          </w:tcPr>
          <w:p>
            <w:pPr>
              <w:jc w:val="center"/>
              <w:rPr>
                <w:rFonts w:hint="eastAsia" w:ascii="宋体" w:hAnsi="宋体" w:eastAsia="宋体" w:cs="宋体"/>
                <w:b/>
                <w:bCs/>
                <w:color w:val="000000"/>
                <w:szCs w:val="20"/>
              </w:rPr>
            </w:pPr>
            <w:r>
              <w:rPr>
                <w:rFonts w:hint="eastAsia" w:ascii="宋体" w:hAnsi="宋体" w:eastAsia="宋体" w:cs="宋体"/>
                <w:b/>
                <w:bCs/>
                <w:color w:val="000000"/>
                <w:szCs w:val="20"/>
              </w:rPr>
              <w:t>2033</w:t>
            </w:r>
          </w:p>
        </w:tc>
        <w:tc>
          <w:tcPr>
            <w:tcW w:w="653" w:type="pct"/>
            <w:shd w:val="clear" w:color="auto" w:fill="D8D8D8" w:themeFill="background1" w:themeFillShade="D9"/>
            <w:vAlign w:val="center"/>
          </w:tcPr>
          <w:p>
            <w:pPr>
              <w:jc w:val="center"/>
              <w:rPr>
                <w:rFonts w:hint="eastAsia" w:ascii="宋体" w:hAnsi="宋体" w:eastAsia="宋体" w:cs="宋体"/>
                <w:b/>
                <w:bCs/>
                <w:color w:val="000000"/>
                <w:szCs w:val="20"/>
              </w:rPr>
            </w:pPr>
            <w:r>
              <w:rPr>
                <w:rFonts w:hint="eastAsia" w:ascii="宋体" w:hAnsi="宋体" w:eastAsia="宋体" w:cs="宋体"/>
                <w:b/>
                <w:bCs/>
                <w:color w:val="000000"/>
                <w:szCs w:val="20"/>
              </w:rPr>
              <w:t>2034</w:t>
            </w:r>
          </w:p>
        </w:tc>
        <w:tc>
          <w:tcPr>
            <w:tcW w:w="633" w:type="pct"/>
            <w:shd w:val="clear" w:color="auto" w:fill="D8D8D8" w:themeFill="background1" w:themeFillShade="D9"/>
          </w:tcPr>
          <w:p>
            <w:pPr>
              <w:jc w:val="center"/>
              <w:rPr>
                <w:rFonts w:hint="eastAsia" w:ascii="宋体" w:hAnsi="宋体" w:eastAsia="宋体" w:cs="宋体"/>
                <w:b/>
                <w:bCs/>
                <w:color w:val="000000"/>
                <w:szCs w:val="20"/>
              </w:rPr>
            </w:pPr>
            <w:r>
              <w:rPr>
                <w:rFonts w:hint="eastAsia" w:ascii="宋体" w:hAnsi="宋体" w:eastAsia="宋体" w:cs="宋体"/>
                <w:b/>
                <w:bCs/>
                <w:color w:val="000000"/>
                <w:szCs w:val="20"/>
              </w:rPr>
              <w:t>2035</w:t>
            </w:r>
          </w:p>
        </w:tc>
        <w:tc>
          <w:tcPr>
            <w:tcW w:w="633" w:type="pct"/>
            <w:shd w:val="clear" w:color="auto" w:fill="D8D8D8" w:themeFill="background1" w:themeFillShade="D9"/>
            <w:vAlign w:val="center"/>
          </w:tcPr>
          <w:p>
            <w:pPr>
              <w:jc w:val="center"/>
              <w:rPr>
                <w:rFonts w:hint="eastAsia" w:ascii="宋体" w:hAnsi="宋体" w:eastAsia="宋体" w:cs="宋体"/>
                <w:b/>
                <w:bCs/>
                <w:color w:val="000000"/>
                <w:szCs w:val="20"/>
              </w:rPr>
            </w:pPr>
            <w:r>
              <w:rPr>
                <w:rFonts w:hint="eastAsia" w:ascii="宋体" w:hAnsi="宋体" w:eastAsia="宋体" w:cs="宋体"/>
                <w:b/>
                <w:bCs/>
                <w:color w:val="000000"/>
                <w:szCs w:val="20"/>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pPr>
              <w:rPr>
                <w:rFonts w:hint="eastAsia" w:ascii="宋体" w:hAnsi="宋体" w:eastAsia="宋体" w:cs="宋体"/>
                <w:color w:val="000000"/>
                <w:szCs w:val="20"/>
              </w:rPr>
            </w:pPr>
            <w:r>
              <w:rPr>
                <w:rFonts w:hint="eastAsia" w:ascii="宋体" w:hAnsi="宋体" w:eastAsia="宋体" w:cs="宋体"/>
                <w:color w:val="000000"/>
                <w:szCs w:val="20"/>
              </w:rPr>
              <w:t>期初专项债券余额</w:t>
            </w:r>
          </w:p>
        </w:tc>
        <w:tc>
          <w:tcPr>
            <w:tcW w:w="653" w:type="pct"/>
            <w:shd w:val="clear" w:color="000000" w:fill="FFFFFF"/>
            <w:vAlign w:val="center"/>
          </w:tcPr>
          <w:p>
            <w:pPr>
              <w:jc w:val="right"/>
              <w:rPr>
                <w:rFonts w:hint="eastAsia" w:ascii="宋体" w:hAnsi="宋体" w:eastAsia="宋体" w:cs="宋体"/>
                <w:color w:val="000000"/>
                <w:szCs w:val="20"/>
              </w:rPr>
            </w:pPr>
            <w:r>
              <w:rPr>
                <w:rFonts w:hint="eastAsia" w:ascii="宋体" w:hAnsi="宋体" w:eastAsia="宋体" w:cs="宋体"/>
              </w:rPr>
              <w:t>1,000.00</w:t>
            </w:r>
          </w:p>
        </w:tc>
        <w:tc>
          <w:tcPr>
            <w:tcW w:w="653" w:type="pct"/>
            <w:shd w:val="clear" w:color="000000" w:fill="FFFFFF"/>
            <w:vAlign w:val="center"/>
          </w:tcPr>
          <w:p>
            <w:pPr>
              <w:jc w:val="right"/>
              <w:rPr>
                <w:rFonts w:hint="eastAsia" w:ascii="宋体" w:hAnsi="宋体" w:eastAsia="宋体" w:cs="宋体"/>
                <w:color w:val="000000"/>
                <w:szCs w:val="20"/>
              </w:rPr>
            </w:pPr>
            <w:r>
              <w:rPr>
                <w:rFonts w:hint="eastAsia" w:ascii="宋体" w:hAnsi="宋体" w:eastAsia="宋体" w:cs="宋体"/>
              </w:rPr>
              <w:t>1,000.00</w:t>
            </w:r>
          </w:p>
        </w:tc>
        <w:tc>
          <w:tcPr>
            <w:tcW w:w="653" w:type="pct"/>
            <w:shd w:val="clear" w:color="000000" w:fill="FFFFFF"/>
            <w:vAlign w:val="center"/>
          </w:tcPr>
          <w:p>
            <w:pPr>
              <w:jc w:val="right"/>
              <w:rPr>
                <w:rFonts w:hint="eastAsia" w:ascii="宋体" w:hAnsi="宋体" w:eastAsia="宋体" w:cs="宋体"/>
                <w:color w:val="000000"/>
                <w:szCs w:val="20"/>
              </w:rPr>
            </w:pPr>
            <w:r>
              <w:rPr>
                <w:rFonts w:hint="eastAsia" w:ascii="宋体" w:hAnsi="宋体" w:eastAsia="宋体" w:cs="宋体"/>
              </w:rPr>
              <w:t>1,000.00</w:t>
            </w:r>
          </w:p>
        </w:tc>
        <w:tc>
          <w:tcPr>
            <w:tcW w:w="653" w:type="pct"/>
            <w:shd w:val="clear" w:color="000000" w:fill="FFFFFF"/>
            <w:vAlign w:val="center"/>
          </w:tcPr>
          <w:p>
            <w:pPr>
              <w:jc w:val="right"/>
              <w:rPr>
                <w:rFonts w:hint="eastAsia" w:ascii="宋体" w:hAnsi="宋体" w:eastAsia="宋体" w:cs="宋体"/>
                <w:color w:val="000000"/>
                <w:szCs w:val="20"/>
              </w:rPr>
            </w:pPr>
            <w:r>
              <w:rPr>
                <w:rFonts w:hint="eastAsia" w:ascii="宋体" w:hAnsi="宋体" w:eastAsia="宋体" w:cs="宋体"/>
              </w:rPr>
              <w:t>1,000.00</w:t>
            </w:r>
          </w:p>
        </w:tc>
        <w:tc>
          <w:tcPr>
            <w:tcW w:w="633" w:type="pct"/>
            <w:shd w:val="clear" w:color="000000" w:fill="FFFFFF"/>
            <w:vAlign w:val="center"/>
          </w:tcPr>
          <w:p>
            <w:pPr>
              <w:jc w:val="right"/>
              <w:rPr>
                <w:rFonts w:hint="eastAsia" w:ascii="宋体" w:hAnsi="宋体" w:eastAsia="宋体" w:cs="宋体"/>
                <w:b/>
                <w:bCs/>
                <w:color w:val="000000"/>
                <w:szCs w:val="20"/>
              </w:rPr>
            </w:pPr>
            <w:r>
              <w:rPr>
                <w:rFonts w:hint="eastAsia" w:ascii="宋体" w:hAnsi="宋体" w:eastAsia="宋体" w:cs="宋体"/>
              </w:rPr>
              <w:t>1,000.00</w:t>
            </w:r>
          </w:p>
        </w:tc>
        <w:tc>
          <w:tcPr>
            <w:tcW w:w="633" w:type="pct"/>
            <w:shd w:val="clear" w:color="000000" w:fill="FFFFFF"/>
            <w:vAlign w:val="center"/>
          </w:tcPr>
          <w:p>
            <w:pPr>
              <w:jc w:val="right"/>
              <w:rPr>
                <w:rFonts w:hint="eastAsia" w:ascii="宋体" w:hAnsi="宋体" w:eastAsia="宋体" w:cs="宋体"/>
                <w:b/>
                <w:bCs/>
                <w:color w:val="00000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pPr>
              <w:rPr>
                <w:rFonts w:hint="eastAsia" w:ascii="宋体" w:hAnsi="宋体" w:eastAsia="宋体" w:cs="宋体"/>
                <w:color w:val="000000"/>
                <w:szCs w:val="20"/>
              </w:rPr>
            </w:pPr>
            <w:r>
              <w:rPr>
                <w:rFonts w:hint="eastAsia" w:ascii="宋体" w:hAnsi="宋体" w:eastAsia="宋体" w:cs="宋体"/>
                <w:color w:val="000000"/>
                <w:szCs w:val="20"/>
              </w:rPr>
              <w:t>本期专项债券调增</w:t>
            </w:r>
          </w:p>
        </w:tc>
        <w:tc>
          <w:tcPr>
            <w:tcW w:w="653" w:type="pct"/>
            <w:shd w:val="clear" w:color="000000" w:fill="FFFFFF"/>
            <w:vAlign w:val="center"/>
          </w:tcPr>
          <w:p>
            <w:pPr>
              <w:jc w:val="right"/>
              <w:rPr>
                <w:rFonts w:hint="eastAsia" w:ascii="宋体" w:hAnsi="宋体" w:eastAsia="宋体" w:cs="宋体"/>
                <w:color w:val="000000"/>
                <w:szCs w:val="20"/>
              </w:rPr>
            </w:pPr>
            <w:r>
              <w:rPr>
                <w:rFonts w:hint="eastAsia" w:ascii="宋体" w:hAnsi="宋体" w:eastAsia="宋体" w:cs="宋体"/>
              </w:rPr>
              <w:t>-</w:t>
            </w:r>
          </w:p>
        </w:tc>
        <w:tc>
          <w:tcPr>
            <w:tcW w:w="653" w:type="pct"/>
            <w:shd w:val="clear" w:color="000000" w:fill="FFFFFF"/>
            <w:vAlign w:val="center"/>
          </w:tcPr>
          <w:p>
            <w:pPr>
              <w:jc w:val="right"/>
              <w:rPr>
                <w:rFonts w:hint="eastAsia" w:ascii="宋体" w:hAnsi="宋体" w:eastAsia="宋体" w:cs="宋体"/>
                <w:color w:val="000000"/>
                <w:szCs w:val="20"/>
              </w:rPr>
            </w:pPr>
            <w:r>
              <w:rPr>
                <w:rFonts w:hint="eastAsia" w:ascii="宋体" w:hAnsi="宋体" w:eastAsia="宋体" w:cs="宋体"/>
              </w:rPr>
              <w:t>-</w:t>
            </w:r>
          </w:p>
        </w:tc>
        <w:tc>
          <w:tcPr>
            <w:tcW w:w="653" w:type="pct"/>
            <w:shd w:val="clear" w:color="000000" w:fill="FFFFFF"/>
            <w:vAlign w:val="center"/>
          </w:tcPr>
          <w:p>
            <w:pPr>
              <w:jc w:val="right"/>
              <w:rPr>
                <w:rFonts w:hint="eastAsia" w:ascii="宋体" w:hAnsi="宋体" w:eastAsia="宋体" w:cs="宋体"/>
                <w:color w:val="000000"/>
                <w:szCs w:val="20"/>
              </w:rPr>
            </w:pPr>
            <w:r>
              <w:rPr>
                <w:rFonts w:hint="eastAsia" w:ascii="宋体" w:hAnsi="宋体" w:eastAsia="宋体" w:cs="宋体"/>
              </w:rPr>
              <w:t>-</w:t>
            </w:r>
          </w:p>
        </w:tc>
        <w:tc>
          <w:tcPr>
            <w:tcW w:w="653" w:type="pct"/>
            <w:shd w:val="clear" w:color="000000" w:fill="FFFFFF"/>
            <w:vAlign w:val="center"/>
          </w:tcPr>
          <w:p>
            <w:pPr>
              <w:jc w:val="right"/>
              <w:rPr>
                <w:rFonts w:hint="eastAsia" w:ascii="宋体" w:hAnsi="宋体" w:eastAsia="宋体" w:cs="宋体"/>
                <w:color w:val="000000"/>
                <w:szCs w:val="20"/>
              </w:rPr>
            </w:pPr>
            <w:r>
              <w:rPr>
                <w:rFonts w:hint="eastAsia" w:ascii="宋体" w:hAnsi="宋体" w:eastAsia="宋体" w:cs="宋体"/>
              </w:rPr>
              <w:t>-</w:t>
            </w:r>
          </w:p>
        </w:tc>
        <w:tc>
          <w:tcPr>
            <w:tcW w:w="633" w:type="pct"/>
            <w:shd w:val="clear" w:color="000000" w:fill="FFFFFF"/>
            <w:vAlign w:val="center"/>
          </w:tcPr>
          <w:p>
            <w:pPr>
              <w:jc w:val="right"/>
              <w:rPr>
                <w:rFonts w:hint="eastAsia" w:ascii="宋体" w:hAnsi="宋体" w:eastAsia="宋体" w:cs="宋体"/>
                <w:b/>
                <w:bCs/>
                <w:color w:val="000000"/>
                <w:szCs w:val="20"/>
              </w:rPr>
            </w:pPr>
            <w:r>
              <w:rPr>
                <w:rFonts w:hint="eastAsia" w:ascii="宋体" w:hAnsi="宋体" w:eastAsia="宋体" w:cs="宋体"/>
              </w:rPr>
              <w:t>-</w:t>
            </w:r>
          </w:p>
        </w:tc>
        <w:tc>
          <w:tcPr>
            <w:tcW w:w="633" w:type="pct"/>
            <w:shd w:val="clear" w:color="000000" w:fill="FFFFFF"/>
            <w:vAlign w:val="center"/>
          </w:tcPr>
          <w:p>
            <w:pPr>
              <w:jc w:val="right"/>
              <w:rPr>
                <w:rFonts w:hint="eastAsia" w:ascii="宋体" w:hAnsi="宋体" w:eastAsia="宋体" w:cs="宋体"/>
                <w:b/>
                <w:bCs/>
                <w:color w:val="000000"/>
                <w:szCs w:val="20"/>
              </w:rPr>
            </w:pPr>
            <w:r>
              <w:rPr>
                <w:rFonts w:hint="eastAsia" w:ascii="宋体" w:hAnsi="宋体" w:eastAsia="宋体" w:cs="宋体"/>
                <w:b/>
                <w:bCs/>
              </w:rPr>
              <w:t>1,000.00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pPr>
              <w:rPr>
                <w:rFonts w:hint="eastAsia" w:ascii="宋体" w:hAnsi="宋体" w:eastAsia="宋体" w:cs="宋体"/>
                <w:color w:val="000000"/>
                <w:szCs w:val="20"/>
              </w:rPr>
            </w:pPr>
            <w:r>
              <w:rPr>
                <w:rFonts w:hint="eastAsia" w:ascii="宋体" w:hAnsi="宋体" w:eastAsia="宋体" w:cs="宋体"/>
                <w:color w:val="000000"/>
                <w:szCs w:val="20"/>
              </w:rPr>
              <w:t>利息支出</w:t>
            </w:r>
          </w:p>
        </w:tc>
        <w:tc>
          <w:tcPr>
            <w:tcW w:w="653" w:type="pct"/>
            <w:shd w:val="clear" w:color="000000" w:fill="FFFFFF"/>
            <w:vAlign w:val="center"/>
          </w:tcPr>
          <w:p>
            <w:pPr>
              <w:jc w:val="right"/>
              <w:rPr>
                <w:rFonts w:hint="eastAsia" w:ascii="宋体" w:hAnsi="宋体" w:eastAsia="宋体" w:cs="宋体"/>
                <w:color w:val="000000"/>
                <w:szCs w:val="20"/>
              </w:rPr>
            </w:pPr>
            <w:r>
              <w:rPr>
                <w:rFonts w:hint="eastAsia" w:ascii="宋体" w:hAnsi="宋体" w:eastAsia="宋体" w:cs="宋体"/>
              </w:rPr>
              <w:t>17.60</w:t>
            </w:r>
          </w:p>
        </w:tc>
        <w:tc>
          <w:tcPr>
            <w:tcW w:w="653" w:type="pct"/>
            <w:shd w:val="clear" w:color="000000" w:fill="FFFFFF"/>
            <w:vAlign w:val="center"/>
          </w:tcPr>
          <w:p>
            <w:pPr>
              <w:jc w:val="right"/>
              <w:rPr>
                <w:rFonts w:hint="eastAsia" w:ascii="宋体" w:hAnsi="宋体" w:eastAsia="宋体" w:cs="宋体"/>
                <w:color w:val="000000"/>
                <w:szCs w:val="20"/>
              </w:rPr>
            </w:pPr>
            <w:r>
              <w:rPr>
                <w:rFonts w:hint="eastAsia" w:ascii="宋体" w:hAnsi="宋体" w:eastAsia="宋体" w:cs="宋体"/>
              </w:rPr>
              <w:t>17.60</w:t>
            </w:r>
          </w:p>
        </w:tc>
        <w:tc>
          <w:tcPr>
            <w:tcW w:w="653" w:type="pct"/>
            <w:shd w:val="clear" w:color="000000" w:fill="FFFFFF"/>
            <w:vAlign w:val="center"/>
          </w:tcPr>
          <w:p>
            <w:pPr>
              <w:jc w:val="right"/>
              <w:rPr>
                <w:rFonts w:hint="eastAsia" w:ascii="宋体" w:hAnsi="宋体" w:eastAsia="宋体" w:cs="宋体"/>
                <w:color w:val="000000"/>
                <w:szCs w:val="20"/>
              </w:rPr>
            </w:pPr>
            <w:r>
              <w:rPr>
                <w:rFonts w:hint="eastAsia" w:ascii="宋体" w:hAnsi="宋体" w:eastAsia="宋体" w:cs="宋体"/>
              </w:rPr>
              <w:t>17.60</w:t>
            </w:r>
          </w:p>
        </w:tc>
        <w:tc>
          <w:tcPr>
            <w:tcW w:w="653" w:type="pct"/>
            <w:shd w:val="clear" w:color="000000" w:fill="FFFFFF"/>
            <w:vAlign w:val="center"/>
          </w:tcPr>
          <w:p>
            <w:pPr>
              <w:jc w:val="right"/>
              <w:rPr>
                <w:rFonts w:hint="eastAsia" w:ascii="宋体" w:hAnsi="宋体" w:eastAsia="宋体" w:cs="宋体"/>
                <w:color w:val="000000"/>
                <w:szCs w:val="20"/>
              </w:rPr>
            </w:pPr>
            <w:r>
              <w:rPr>
                <w:rFonts w:hint="eastAsia" w:ascii="宋体" w:hAnsi="宋体" w:eastAsia="宋体" w:cs="宋体"/>
              </w:rPr>
              <w:t>17.60</w:t>
            </w:r>
          </w:p>
        </w:tc>
        <w:tc>
          <w:tcPr>
            <w:tcW w:w="633" w:type="pct"/>
            <w:shd w:val="clear" w:color="000000" w:fill="FFFFFF"/>
            <w:vAlign w:val="center"/>
          </w:tcPr>
          <w:p>
            <w:pPr>
              <w:jc w:val="right"/>
              <w:rPr>
                <w:rFonts w:hint="eastAsia" w:ascii="宋体" w:hAnsi="宋体" w:eastAsia="宋体" w:cs="宋体"/>
                <w:b/>
                <w:bCs/>
                <w:color w:val="000000"/>
                <w:szCs w:val="20"/>
              </w:rPr>
            </w:pPr>
            <w:r>
              <w:rPr>
                <w:rFonts w:hint="eastAsia" w:ascii="宋体" w:hAnsi="宋体" w:eastAsia="宋体" w:cs="宋体"/>
              </w:rPr>
              <w:t>8.80</w:t>
            </w:r>
          </w:p>
        </w:tc>
        <w:tc>
          <w:tcPr>
            <w:tcW w:w="633" w:type="pct"/>
            <w:shd w:val="clear" w:color="000000" w:fill="FFFFFF"/>
            <w:vAlign w:val="center"/>
          </w:tcPr>
          <w:p>
            <w:pPr>
              <w:jc w:val="right"/>
              <w:rPr>
                <w:rFonts w:hint="eastAsia" w:ascii="宋体" w:hAnsi="宋体" w:eastAsia="宋体" w:cs="宋体"/>
                <w:b/>
                <w:bCs/>
                <w:color w:val="000000"/>
                <w:szCs w:val="20"/>
              </w:rPr>
            </w:pPr>
            <w:r>
              <w:rPr>
                <w:rFonts w:hint="eastAsia" w:ascii="宋体" w:hAnsi="宋体" w:eastAsia="宋体" w:cs="宋体"/>
                <w:b/>
                <w:bCs/>
              </w:rPr>
              <w:t>176.00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pPr>
              <w:rPr>
                <w:rFonts w:hint="eastAsia" w:ascii="宋体" w:hAnsi="宋体" w:eastAsia="宋体" w:cs="宋体"/>
                <w:color w:val="000000"/>
                <w:szCs w:val="20"/>
              </w:rPr>
            </w:pPr>
            <w:r>
              <w:rPr>
                <w:rFonts w:hint="eastAsia" w:ascii="宋体" w:hAnsi="宋体" w:eastAsia="宋体" w:cs="宋体"/>
                <w:color w:val="000000"/>
                <w:szCs w:val="20"/>
              </w:rPr>
              <w:t>本期还款</w:t>
            </w:r>
          </w:p>
        </w:tc>
        <w:tc>
          <w:tcPr>
            <w:tcW w:w="653" w:type="pct"/>
            <w:shd w:val="clear" w:color="000000" w:fill="FFFFFF"/>
            <w:vAlign w:val="center"/>
          </w:tcPr>
          <w:p>
            <w:pPr>
              <w:jc w:val="right"/>
              <w:rPr>
                <w:rFonts w:hint="eastAsia" w:ascii="宋体" w:hAnsi="宋体" w:eastAsia="宋体" w:cs="宋体"/>
                <w:color w:val="000000"/>
                <w:szCs w:val="20"/>
              </w:rPr>
            </w:pPr>
            <w:r>
              <w:rPr>
                <w:rFonts w:hint="eastAsia" w:ascii="宋体" w:hAnsi="宋体" w:eastAsia="宋体" w:cs="宋体"/>
              </w:rPr>
              <w:t>17.60</w:t>
            </w:r>
          </w:p>
        </w:tc>
        <w:tc>
          <w:tcPr>
            <w:tcW w:w="653" w:type="pct"/>
            <w:shd w:val="clear" w:color="000000" w:fill="FFFFFF"/>
            <w:vAlign w:val="center"/>
          </w:tcPr>
          <w:p>
            <w:pPr>
              <w:jc w:val="right"/>
              <w:rPr>
                <w:rFonts w:hint="eastAsia" w:ascii="宋体" w:hAnsi="宋体" w:eastAsia="宋体" w:cs="宋体"/>
                <w:color w:val="000000"/>
                <w:szCs w:val="20"/>
              </w:rPr>
            </w:pPr>
            <w:r>
              <w:rPr>
                <w:rFonts w:hint="eastAsia" w:ascii="宋体" w:hAnsi="宋体" w:eastAsia="宋体" w:cs="宋体"/>
              </w:rPr>
              <w:t>17.60</w:t>
            </w:r>
          </w:p>
        </w:tc>
        <w:tc>
          <w:tcPr>
            <w:tcW w:w="653" w:type="pct"/>
            <w:shd w:val="clear" w:color="000000" w:fill="FFFFFF"/>
            <w:vAlign w:val="center"/>
          </w:tcPr>
          <w:p>
            <w:pPr>
              <w:jc w:val="right"/>
              <w:rPr>
                <w:rFonts w:hint="eastAsia" w:ascii="宋体" w:hAnsi="宋体" w:eastAsia="宋体" w:cs="宋体"/>
                <w:color w:val="000000"/>
                <w:szCs w:val="20"/>
              </w:rPr>
            </w:pPr>
            <w:r>
              <w:rPr>
                <w:rFonts w:hint="eastAsia" w:ascii="宋体" w:hAnsi="宋体" w:eastAsia="宋体" w:cs="宋体"/>
              </w:rPr>
              <w:t>17.60</w:t>
            </w:r>
          </w:p>
        </w:tc>
        <w:tc>
          <w:tcPr>
            <w:tcW w:w="653" w:type="pct"/>
            <w:shd w:val="clear" w:color="000000" w:fill="FFFFFF"/>
            <w:vAlign w:val="center"/>
          </w:tcPr>
          <w:p>
            <w:pPr>
              <w:jc w:val="right"/>
              <w:rPr>
                <w:rFonts w:hint="eastAsia" w:ascii="宋体" w:hAnsi="宋体" w:eastAsia="宋体" w:cs="宋体"/>
                <w:color w:val="000000"/>
                <w:szCs w:val="20"/>
              </w:rPr>
            </w:pPr>
            <w:r>
              <w:rPr>
                <w:rFonts w:hint="eastAsia" w:ascii="宋体" w:hAnsi="宋体" w:eastAsia="宋体" w:cs="宋体"/>
              </w:rPr>
              <w:t>17.60</w:t>
            </w:r>
          </w:p>
        </w:tc>
        <w:tc>
          <w:tcPr>
            <w:tcW w:w="633" w:type="pct"/>
            <w:shd w:val="clear" w:color="000000" w:fill="FFFFFF"/>
            <w:vAlign w:val="center"/>
          </w:tcPr>
          <w:p>
            <w:pPr>
              <w:jc w:val="right"/>
              <w:rPr>
                <w:rFonts w:hint="eastAsia" w:ascii="宋体" w:hAnsi="宋体" w:eastAsia="宋体" w:cs="宋体"/>
                <w:b/>
                <w:bCs/>
                <w:color w:val="000000"/>
                <w:szCs w:val="20"/>
              </w:rPr>
            </w:pPr>
            <w:r>
              <w:rPr>
                <w:rFonts w:hint="eastAsia" w:ascii="宋体" w:hAnsi="宋体" w:eastAsia="宋体" w:cs="宋体"/>
              </w:rPr>
              <w:t>1,008.80</w:t>
            </w:r>
          </w:p>
        </w:tc>
        <w:tc>
          <w:tcPr>
            <w:tcW w:w="633" w:type="pct"/>
            <w:shd w:val="clear" w:color="000000" w:fill="FFFFFF"/>
            <w:vAlign w:val="center"/>
          </w:tcPr>
          <w:p>
            <w:pPr>
              <w:jc w:val="right"/>
              <w:rPr>
                <w:rFonts w:hint="eastAsia" w:ascii="宋体" w:hAnsi="宋体" w:eastAsia="宋体" w:cs="宋体"/>
                <w:b/>
                <w:bCs/>
                <w:color w:val="000000"/>
                <w:szCs w:val="20"/>
              </w:rPr>
            </w:pPr>
            <w:r>
              <w:rPr>
                <w:rFonts w:hint="eastAsia" w:ascii="宋体" w:hAnsi="宋体" w:eastAsia="宋体" w:cs="宋体"/>
                <w:b/>
                <w:bCs/>
              </w:rPr>
              <w:t>1,176.00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pPr>
              <w:rPr>
                <w:rFonts w:hint="eastAsia" w:ascii="宋体" w:hAnsi="宋体" w:eastAsia="宋体" w:cs="宋体"/>
                <w:color w:val="000000"/>
                <w:szCs w:val="20"/>
              </w:rPr>
            </w:pPr>
            <w:r>
              <w:rPr>
                <w:rFonts w:hint="eastAsia" w:ascii="宋体" w:hAnsi="宋体" w:eastAsia="宋体" w:cs="宋体"/>
                <w:color w:val="000000"/>
                <w:szCs w:val="20"/>
              </w:rPr>
              <w:t>其中：还本</w:t>
            </w:r>
          </w:p>
        </w:tc>
        <w:tc>
          <w:tcPr>
            <w:tcW w:w="653" w:type="pct"/>
            <w:shd w:val="clear" w:color="000000" w:fill="FFFFFF"/>
            <w:vAlign w:val="center"/>
          </w:tcPr>
          <w:p>
            <w:pPr>
              <w:jc w:val="right"/>
              <w:rPr>
                <w:rFonts w:hint="eastAsia" w:ascii="宋体" w:hAnsi="宋体" w:eastAsia="宋体" w:cs="宋体"/>
                <w:color w:val="000000"/>
                <w:szCs w:val="20"/>
              </w:rPr>
            </w:pPr>
            <w:r>
              <w:rPr>
                <w:rFonts w:hint="eastAsia" w:ascii="宋体" w:hAnsi="宋体" w:eastAsia="宋体" w:cs="宋体"/>
              </w:rPr>
              <w:t>-</w:t>
            </w:r>
          </w:p>
        </w:tc>
        <w:tc>
          <w:tcPr>
            <w:tcW w:w="653" w:type="pct"/>
            <w:shd w:val="clear" w:color="000000" w:fill="FFFFFF"/>
            <w:vAlign w:val="center"/>
          </w:tcPr>
          <w:p>
            <w:pPr>
              <w:jc w:val="right"/>
              <w:rPr>
                <w:rFonts w:hint="eastAsia" w:ascii="宋体" w:hAnsi="宋体" w:eastAsia="宋体" w:cs="宋体"/>
                <w:color w:val="000000"/>
                <w:szCs w:val="20"/>
              </w:rPr>
            </w:pPr>
            <w:r>
              <w:rPr>
                <w:rFonts w:hint="eastAsia" w:ascii="宋体" w:hAnsi="宋体" w:eastAsia="宋体" w:cs="宋体"/>
              </w:rPr>
              <w:t>-</w:t>
            </w:r>
          </w:p>
        </w:tc>
        <w:tc>
          <w:tcPr>
            <w:tcW w:w="653" w:type="pct"/>
            <w:shd w:val="clear" w:color="000000" w:fill="FFFFFF"/>
            <w:vAlign w:val="center"/>
          </w:tcPr>
          <w:p>
            <w:pPr>
              <w:jc w:val="right"/>
              <w:rPr>
                <w:rFonts w:hint="eastAsia" w:ascii="宋体" w:hAnsi="宋体" w:eastAsia="宋体" w:cs="宋体"/>
                <w:color w:val="000000"/>
                <w:szCs w:val="20"/>
              </w:rPr>
            </w:pPr>
            <w:r>
              <w:rPr>
                <w:rFonts w:hint="eastAsia" w:ascii="宋体" w:hAnsi="宋体" w:eastAsia="宋体" w:cs="宋体"/>
              </w:rPr>
              <w:t>-</w:t>
            </w:r>
          </w:p>
        </w:tc>
        <w:tc>
          <w:tcPr>
            <w:tcW w:w="653" w:type="pct"/>
            <w:shd w:val="clear" w:color="000000" w:fill="FFFFFF"/>
            <w:vAlign w:val="center"/>
          </w:tcPr>
          <w:p>
            <w:pPr>
              <w:jc w:val="right"/>
              <w:rPr>
                <w:rFonts w:hint="eastAsia" w:ascii="宋体" w:hAnsi="宋体" w:eastAsia="宋体" w:cs="宋体"/>
                <w:color w:val="000000"/>
                <w:szCs w:val="20"/>
              </w:rPr>
            </w:pPr>
            <w:r>
              <w:rPr>
                <w:rFonts w:hint="eastAsia" w:ascii="宋体" w:hAnsi="宋体" w:eastAsia="宋体" w:cs="宋体"/>
              </w:rPr>
              <w:t>-</w:t>
            </w:r>
          </w:p>
        </w:tc>
        <w:tc>
          <w:tcPr>
            <w:tcW w:w="633" w:type="pct"/>
            <w:shd w:val="clear" w:color="000000" w:fill="FFFFFF"/>
            <w:vAlign w:val="center"/>
          </w:tcPr>
          <w:p>
            <w:pPr>
              <w:jc w:val="right"/>
              <w:rPr>
                <w:rFonts w:hint="eastAsia" w:ascii="宋体" w:hAnsi="宋体" w:eastAsia="宋体" w:cs="宋体"/>
                <w:b/>
                <w:bCs/>
                <w:color w:val="000000"/>
                <w:szCs w:val="20"/>
              </w:rPr>
            </w:pPr>
            <w:r>
              <w:rPr>
                <w:rFonts w:hint="eastAsia" w:ascii="宋体" w:hAnsi="宋体" w:eastAsia="宋体" w:cs="宋体"/>
              </w:rPr>
              <w:t>1,000.00</w:t>
            </w:r>
          </w:p>
        </w:tc>
        <w:tc>
          <w:tcPr>
            <w:tcW w:w="633" w:type="pct"/>
            <w:shd w:val="clear" w:color="000000" w:fill="FFFFFF"/>
            <w:vAlign w:val="center"/>
          </w:tcPr>
          <w:p>
            <w:pPr>
              <w:jc w:val="right"/>
              <w:rPr>
                <w:rFonts w:hint="eastAsia" w:ascii="宋体" w:hAnsi="宋体" w:eastAsia="宋体" w:cs="宋体"/>
                <w:b/>
                <w:bCs/>
                <w:color w:val="000000"/>
                <w:szCs w:val="20"/>
              </w:rPr>
            </w:pPr>
            <w:r>
              <w:rPr>
                <w:rFonts w:hint="eastAsia" w:ascii="宋体" w:hAnsi="宋体" w:eastAsia="宋体" w:cs="宋体"/>
                <w:b/>
                <w:bCs/>
              </w:rPr>
              <w:t>1,000.00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pPr>
              <w:rPr>
                <w:rFonts w:hint="eastAsia" w:ascii="宋体" w:hAnsi="宋体" w:eastAsia="宋体" w:cs="宋体"/>
                <w:color w:val="000000"/>
                <w:szCs w:val="20"/>
              </w:rPr>
            </w:pPr>
            <w:r>
              <w:rPr>
                <w:rFonts w:hint="eastAsia" w:ascii="宋体" w:hAnsi="宋体" w:eastAsia="宋体" w:cs="宋体"/>
                <w:color w:val="000000"/>
                <w:szCs w:val="20"/>
              </w:rPr>
              <w:t>付息</w:t>
            </w:r>
          </w:p>
        </w:tc>
        <w:tc>
          <w:tcPr>
            <w:tcW w:w="653" w:type="pct"/>
            <w:shd w:val="clear" w:color="000000" w:fill="FFFFFF"/>
            <w:vAlign w:val="center"/>
          </w:tcPr>
          <w:p>
            <w:pPr>
              <w:jc w:val="right"/>
              <w:rPr>
                <w:rFonts w:hint="eastAsia" w:ascii="宋体" w:hAnsi="宋体" w:eastAsia="宋体" w:cs="宋体"/>
                <w:color w:val="000000"/>
                <w:szCs w:val="20"/>
              </w:rPr>
            </w:pPr>
            <w:r>
              <w:rPr>
                <w:rFonts w:hint="eastAsia" w:ascii="宋体" w:hAnsi="宋体" w:eastAsia="宋体" w:cs="宋体"/>
              </w:rPr>
              <w:t>17.60</w:t>
            </w:r>
          </w:p>
        </w:tc>
        <w:tc>
          <w:tcPr>
            <w:tcW w:w="653" w:type="pct"/>
            <w:shd w:val="clear" w:color="000000" w:fill="FFFFFF"/>
            <w:vAlign w:val="center"/>
          </w:tcPr>
          <w:p>
            <w:pPr>
              <w:jc w:val="right"/>
              <w:rPr>
                <w:rFonts w:hint="eastAsia" w:ascii="宋体" w:hAnsi="宋体" w:eastAsia="宋体" w:cs="宋体"/>
                <w:color w:val="000000"/>
                <w:szCs w:val="20"/>
              </w:rPr>
            </w:pPr>
            <w:r>
              <w:rPr>
                <w:rFonts w:hint="eastAsia" w:ascii="宋体" w:hAnsi="宋体" w:eastAsia="宋体" w:cs="宋体"/>
              </w:rPr>
              <w:t>17.60</w:t>
            </w:r>
          </w:p>
        </w:tc>
        <w:tc>
          <w:tcPr>
            <w:tcW w:w="653" w:type="pct"/>
            <w:shd w:val="clear" w:color="000000" w:fill="FFFFFF"/>
            <w:vAlign w:val="center"/>
          </w:tcPr>
          <w:p>
            <w:pPr>
              <w:jc w:val="right"/>
              <w:rPr>
                <w:rFonts w:hint="eastAsia" w:ascii="宋体" w:hAnsi="宋体" w:eastAsia="宋体" w:cs="宋体"/>
                <w:color w:val="000000"/>
                <w:szCs w:val="20"/>
              </w:rPr>
            </w:pPr>
            <w:r>
              <w:rPr>
                <w:rFonts w:hint="eastAsia" w:ascii="宋体" w:hAnsi="宋体" w:eastAsia="宋体" w:cs="宋体"/>
              </w:rPr>
              <w:t>17.60</w:t>
            </w:r>
          </w:p>
        </w:tc>
        <w:tc>
          <w:tcPr>
            <w:tcW w:w="653" w:type="pct"/>
            <w:shd w:val="clear" w:color="000000" w:fill="FFFFFF"/>
            <w:vAlign w:val="center"/>
          </w:tcPr>
          <w:p>
            <w:pPr>
              <w:jc w:val="right"/>
              <w:rPr>
                <w:rFonts w:hint="eastAsia" w:ascii="宋体" w:hAnsi="宋体" w:eastAsia="宋体" w:cs="宋体"/>
                <w:color w:val="000000"/>
                <w:szCs w:val="20"/>
              </w:rPr>
            </w:pPr>
            <w:r>
              <w:rPr>
                <w:rFonts w:hint="eastAsia" w:ascii="宋体" w:hAnsi="宋体" w:eastAsia="宋体" w:cs="宋体"/>
              </w:rPr>
              <w:t>17.60</w:t>
            </w:r>
          </w:p>
        </w:tc>
        <w:tc>
          <w:tcPr>
            <w:tcW w:w="633" w:type="pct"/>
            <w:shd w:val="clear" w:color="000000" w:fill="FFFFFF"/>
            <w:vAlign w:val="center"/>
          </w:tcPr>
          <w:p>
            <w:pPr>
              <w:jc w:val="right"/>
              <w:rPr>
                <w:rFonts w:hint="eastAsia" w:ascii="宋体" w:hAnsi="宋体" w:eastAsia="宋体" w:cs="宋体"/>
                <w:b/>
                <w:bCs/>
                <w:color w:val="000000"/>
                <w:szCs w:val="20"/>
              </w:rPr>
            </w:pPr>
            <w:r>
              <w:rPr>
                <w:rFonts w:hint="eastAsia" w:ascii="宋体" w:hAnsi="宋体" w:eastAsia="宋体" w:cs="宋体"/>
              </w:rPr>
              <w:t>8.80</w:t>
            </w:r>
          </w:p>
        </w:tc>
        <w:tc>
          <w:tcPr>
            <w:tcW w:w="633" w:type="pct"/>
            <w:shd w:val="clear" w:color="000000" w:fill="FFFFFF"/>
            <w:vAlign w:val="center"/>
          </w:tcPr>
          <w:p>
            <w:pPr>
              <w:jc w:val="right"/>
              <w:rPr>
                <w:rFonts w:hint="eastAsia" w:ascii="宋体" w:hAnsi="宋体" w:eastAsia="宋体" w:cs="宋体"/>
                <w:b/>
                <w:bCs/>
                <w:color w:val="000000"/>
                <w:szCs w:val="20"/>
              </w:rPr>
            </w:pPr>
            <w:r>
              <w:rPr>
                <w:rFonts w:hint="eastAsia" w:ascii="宋体" w:hAnsi="宋体" w:eastAsia="宋体" w:cs="宋体"/>
                <w:b/>
                <w:bCs/>
              </w:rPr>
              <w:t>176.00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pPr>
              <w:rPr>
                <w:rFonts w:hint="eastAsia" w:ascii="宋体" w:hAnsi="宋体" w:eastAsia="宋体" w:cs="宋体"/>
                <w:color w:val="000000"/>
                <w:szCs w:val="20"/>
              </w:rPr>
            </w:pPr>
            <w:r>
              <w:rPr>
                <w:rFonts w:hint="eastAsia" w:ascii="宋体" w:hAnsi="宋体" w:eastAsia="宋体" w:cs="宋体"/>
                <w:color w:val="000000"/>
                <w:szCs w:val="20"/>
              </w:rPr>
              <w:t>期末专项债券余额</w:t>
            </w:r>
          </w:p>
        </w:tc>
        <w:tc>
          <w:tcPr>
            <w:tcW w:w="653" w:type="pct"/>
            <w:shd w:val="clear" w:color="000000" w:fill="FFFFFF"/>
            <w:vAlign w:val="center"/>
          </w:tcPr>
          <w:p>
            <w:pPr>
              <w:jc w:val="right"/>
              <w:rPr>
                <w:rFonts w:hint="eastAsia" w:ascii="宋体" w:hAnsi="宋体" w:eastAsia="宋体" w:cs="宋体"/>
                <w:color w:val="000000"/>
                <w:szCs w:val="20"/>
              </w:rPr>
            </w:pPr>
            <w:r>
              <w:rPr>
                <w:rFonts w:hint="eastAsia" w:ascii="宋体" w:hAnsi="宋体" w:eastAsia="宋体" w:cs="宋体"/>
              </w:rPr>
              <w:t>1,000.00</w:t>
            </w:r>
          </w:p>
        </w:tc>
        <w:tc>
          <w:tcPr>
            <w:tcW w:w="653" w:type="pct"/>
            <w:shd w:val="clear" w:color="000000" w:fill="FFFFFF"/>
            <w:vAlign w:val="center"/>
          </w:tcPr>
          <w:p>
            <w:pPr>
              <w:jc w:val="right"/>
              <w:rPr>
                <w:rFonts w:hint="eastAsia" w:ascii="宋体" w:hAnsi="宋体" w:eastAsia="宋体" w:cs="宋体"/>
                <w:color w:val="000000"/>
                <w:szCs w:val="20"/>
              </w:rPr>
            </w:pPr>
            <w:r>
              <w:rPr>
                <w:rFonts w:hint="eastAsia" w:ascii="宋体" w:hAnsi="宋体" w:eastAsia="宋体" w:cs="宋体"/>
              </w:rPr>
              <w:t>1,000.00</w:t>
            </w:r>
          </w:p>
        </w:tc>
        <w:tc>
          <w:tcPr>
            <w:tcW w:w="653" w:type="pct"/>
            <w:shd w:val="clear" w:color="000000" w:fill="FFFFFF"/>
            <w:vAlign w:val="center"/>
          </w:tcPr>
          <w:p>
            <w:pPr>
              <w:jc w:val="right"/>
              <w:rPr>
                <w:rFonts w:hint="eastAsia" w:ascii="宋体" w:hAnsi="宋体" w:eastAsia="宋体" w:cs="宋体"/>
                <w:color w:val="000000"/>
                <w:szCs w:val="20"/>
              </w:rPr>
            </w:pPr>
            <w:r>
              <w:rPr>
                <w:rFonts w:hint="eastAsia" w:ascii="宋体" w:hAnsi="宋体" w:eastAsia="宋体" w:cs="宋体"/>
              </w:rPr>
              <w:t>1,000.00</w:t>
            </w:r>
          </w:p>
        </w:tc>
        <w:tc>
          <w:tcPr>
            <w:tcW w:w="653" w:type="pct"/>
            <w:shd w:val="clear" w:color="000000" w:fill="FFFFFF"/>
            <w:vAlign w:val="center"/>
          </w:tcPr>
          <w:p>
            <w:pPr>
              <w:jc w:val="right"/>
              <w:rPr>
                <w:rFonts w:hint="eastAsia" w:ascii="宋体" w:hAnsi="宋体" w:eastAsia="宋体" w:cs="宋体"/>
                <w:color w:val="000000"/>
                <w:szCs w:val="20"/>
              </w:rPr>
            </w:pPr>
            <w:r>
              <w:rPr>
                <w:rFonts w:hint="eastAsia" w:ascii="宋体" w:hAnsi="宋体" w:eastAsia="宋体" w:cs="宋体"/>
              </w:rPr>
              <w:t>1,000.00</w:t>
            </w:r>
          </w:p>
        </w:tc>
        <w:tc>
          <w:tcPr>
            <w:tcW w:w="633" w:type="pct"/>
            <w:shd w:val="clear" w:color="000000" w:fill="FFFFFF"/>
            <w:vAlign w:val="center"/>
          </w:tcPr>
          <w:p>
            <w:pPr>
              <w:jc w:val="right"/>
              <w:rPr>
                <w:rFonts w:hint="eastAsia" w:ascii="宋体" w:hAnsi="宋体" w:eastAsia="宋体" w:cs="宋体"/>
                <w:b/>
                <w:bCs/>
                <w:color w:val="000000"/>
                <w:szCs w:val="20"/>
              </w:rPr>
            </w:pPr>
            <w:r>
              <w:rPr>
                <w:rFonts w:hint="eastAsia" w:ascii="宋体" w:hAnsi="宋体" w:eastAsia="宋体" w:cs="宋体"/>
              </w:rPr>
              <w:t>-</w:t>
            </w:r>
          </w:p>
        </w:tc>
        <w:tc>
          <w:tcPr>
            <w:tcW w:w="633" w:type="pct"/>
            <w:shd w:val="clear" w:color="000000" w:fill="FFFFFF"/>
            <w:vAlign w:val="center"/>
          </w:tcPr>
          <w:p>
            <w:pPr>
              <w:jc w:val="right"/>
              <w:rPr>
                <w:rFonts w:hint="eastAsia" w:ascii="宋体" w:hAnsi="宋体" w:eastAsia="宋体" w:cs="宋体"/>
                <w:b/>
                <w:bCs/>
                <w:color w:val="000000"/>
                <w:szCs w:val="20"/>
              </w:rPr>
            </w:pPr>
          </w:p>
        </w:tc>
      </w:tr>
    </w:tbl>
    <w:p>
      <w:pPr>
        <w:rPr>
          <w:rFonts w:hint="eastAsia" w:ascii="宋体" w:hAnsi="宋体" w:eastAsia="宋体" w:cs="宋体"/>
          <w:color w:val="000000"/>
          <w:sz w:val="24"/>
          <w:szCs w:val="24"/>
        </w:rPr>
      </w:pPr>
    </w:p>
    <w:p>
      <w:pPr>
        <w:spacing w:before="120" w:after="120" w:line="360" w:lineRule="auto"/>
        <w:outlineLvl w:val="1"/>
        <w:rPr>
          <w:rFonts w:hint="eastAsia" w:ascii="宋体" w:hAnsi="宋体" w:eastAsia="宋体" w:cs="宋体"/>
          <w:b/>
          <w:color w:val="000000"/>
          <w:sz w:val="24"/>
          <w:szCs w:val="24"/>
        </w:rPr>
      </w:pPr>
      <w:bookmarkStart w:id="28" w:name="_Toc200555439"/>
      <w:r>
        <w:rPr>
          <w:rFonts w:hint="eastAsia" w:ascii="宋体" w:hAnsi="宋体" w:eastAsia="宋体" w:cs="宋体"/>
          <w:b/>
          <w:color w:val="000000"/>
          <w:sz w:val="24"/>
          <w:szCs w:val="24"/>
        </w:rPr>
        <w:t>（二）项目收益情况</w:t>
      </w:r>
      <w:bookmarkEnd w:id="28"/>
    </w:p>
    <w:p>
      <w:pPr>
        <w:spacing w:before="120" w:after="120" w:line="360" w:lineRule="auto"/>
        <w:ind w:firstLine="482" w:firstLineChars="200"/>
        <w:outlineLvl w:val="2"/>
        <w:rPr>
          <w:rFonts w:hint="eastAsia" w:ascii="宋体" w:hAnsi="宋体" w:eastAsia="宋体" w:cs="宋体"/>
          <w:b/>
          <w:bCs/>
          <w:color w:val="000000"/>
          <w:sz w:val="24"/>
          <w:szCs w:val="24"/>
        </w:rPr>
      </w:pPr>
      <w:bookmarkStart w:id="29" w:name="_Toc200555440"/>
      <w:r>
        <w:rPr>
          <w:rFonts w:hint="eastAsia" w:ascii="宋体" w:hAnsi="宋体" w:eastAsia="宋体" w:cs="宋体"/>
          <w:b/>
          <w:bCs/>
          <w:color w:val="000000"/>
          <w:sz w:val="24"/>
          <w:szCs w:val="24"/>
        </w:rPr>
        <w:t>1.项目收入</w:t>
      </w:r>
      <w:bookmarkEnd w:id="29"/>
    </w:p>
    <w:p>
      <w:pPr>
        <w:adjustRightInd w:val="0"/>
        <w:spacing w:before="120" w:after="12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（1）土地出让收入预测</w:t>
      </w:r>
    </w:p>
    <w:p>
      <w:pPr>
        <w:adjustRightInd w:val="0"/>
        <w:spacing w:before="120" w:after="12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根据《2024年海南省政府专项债券（一期）、2024年海南省政府专项债券（八期）、2024年海南省政府专项债券（十五期）、2025年海南省政府专项债券（一期）、2025年海南省政府专项债券（三期）调整项目偿债收入来源的说明函》，本项目专项债券还本付息以项目周边地块的国有土地使用权出让收入为基础。本项目涉及的国有土地使用权出让收入预测，以项目区域范围内可出让面积、土地用途、容积率指标等为基数，参考所在片区基准地价、近期历史成交价、未来经济增长、城市商品房销售价格等标准，合理预估本项目的土地出让单价，并据此测算相关收入。本次调增专项债券项目偿债的土地出让情况详见表8。</w:t>
      </w:r>
    </w:p>
    <w:p>
      <w:pPr>
        <w:spacing w:before="159" w:beforeLines="50" w:after="159" w:afterLines="50"/>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表8 土地出让情况表</w:t>
      </w:r>
    </w:p>
    <w:tbl>
      <w:tblPr>
        <w:tblStyle w:val="19"/>
        <w:tblW w:w="554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2169"/>
        <w:gridCol w:w="1857"/>
        <w:gridCol w:w="1150"/>
        <w:gridCol w:w="1426"/>
        <w:gridCol w:w="1202"/>
        <w:gridCol w:w="15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70" w:hRule="atLeast"/>
          <w:tblHeader/>
          <w:jc w:val="center"/>
        </w:trPr>
        <w:tc>
          <w:tcPr>
            <w:tcW w:w="1162" w:type="pct"/>
            <w:vMerge w:val="restart"/>
            <w:shd w:val="clear" w:color="000000" w:fill="D0CECE"/>
            <w:vAlign w:val="center"/>
          </w:tcPr>
          <w:p>
            <w:pPr>
              <w:jc w:val="center"/>
              <w:rPr>
                <w:rFonts w:hint="eastAsia" w:ascii="宋体" w:hAnsi="宋体" w:eastAsia="宋体" w:cs="宋体"/>
                <w:b/>
                <w:bCs/>
                <w:color w:val="000000"/>
                <w:szCs w:val="20"/>
              </w:rPr>
            </w:pPr>
            <w:r>
              <w:rPr>
                <w:rFonts w:hint="eastAsia" w:ascii="宋体" w:hAnsi="宋体" w:eastAsia="宋体" w:cs="宋体"/>
                <w:b/>
                <w:bCs/>
                <w:color w:val="000000"/>
                <w:szCs w:val="20"/>
              </w:rPr>
              <w:t>项目名称</w:t>
            </w:r>
          </w:p>
        </w:tc>
        <w:tc>
          <w:tcPr>
            <w:tcW w:w="995" w:type="pct"/>
            <w:vMerge w:val="restart"/>
            <w:shd w:val="clear" w:color="000000" w:fill="D0CECE"/>
            <w:vAlign w:val="center"/>
          </w:tcPr>
          <w:p>
            <w:pPr>
              <w:jc w:val="center"/>
              <w:rPr>
                <w:rFonts w:hint="eastAsia" w:ascii="宋体" w:hAnsi="宋体" w:eastAsia="宋体" w:cs="宋体"/>
                <w:b/>
                <w:bCs/>
                <w:color w:val="000000"/>
                <w:szCs w:val="20"/>
              </w:rPr>
            </w:pPr>
            <w:r>
              <w:rPr>
                <w:rFonts w:hint="eastAsia" w:ascii="宋体" w:hAnsi="宋体" w:eastAsia="宋体" w:cs="宋体"/>
                <w:b/>
                <w:bCs/>
                <w:color w:val="000000"/>
                <w:szCs w:val="20"/>
              </w:rPr>
              <w:t>地块编号</w:t>
            </w:r>
          </w:p>
        </w:tc>
        <w:tc>
          <w:tcPr>
            <w:tcW w:w="616" w:type="pct"/>
            <w:shd w:val="clear" w:color="000000" w:fill="D0CECE"/>
            <w:vAlign w:val="center"/>
          </w:tcPr>
          <w:p>
            <w:pPr>
              <w:jc w:val="center"/>
              <w:rPr>
                <w:rFonts w:hint="eastAsia" w:ascii="宋体" w:hAnsi="宋体" w:eastAsia="宋体" w:cs="宋体"/>
                <w:b/>
                <w:bCs/>
                <w:color w:val="000000"/>
                <w:szCs w:val="20"/>
              </w:rPr>
            </w:pPr>
            <w:r>
              <w:rPr>
                <w:rFonts w:hint="eastAsia" w:ascii="宋体" w:hAnsi="宋体" w:eastAsia="宋体" w:cs="宋体"/>
                <w:b/>
                <w:bCs/>
                <w:color w:val="000000"/>
                <w:szCs w:val="20"/>
              </w:rPr>
              <w:t>面积</w:t>
            </w:r>
          </w:p>
        </w:tc>
        <w:tc>
          <w:tcPr>
            <w:tcW w:w="764" w:type="pct"/>
            <w:shd w:val="clear" w:color="000000" w:fill="D0CECE"/>
            <w:vAlign w:val="center"/>
          </w:tcPr>
          <w:p>
            <w:pPr>
              <w:jc w:val="center"/>
              <w:rPr>
                <w:rFonts w:hint="eastAsia" w:ascii="宋体" w:hAnsi="宋体" w:eastAsia="宋体" w:cs="宋体"/>
                <w:b/>
                <w:bCs/>
                <w:color w:val="000000"/>
                <w:szCs w:val="20"/>
              </w:rPr>
            </w:pPr>
            <w:r>
              <w:rPr>
                <w:rFonts w:hint="eastAsia" w:ascii="宋体" w:hAnsi="宋体" w:eastAsia="宋体" w:cs="宋体"/>
                <w:b/>
                <w:bCs/>
                <w:color w:val="000000"/>
                <w:szCs w:val="20"/>
              </w:rPr>
              <w:t>预估地价</w:t>
            </w:r>
          </w:p>
        </w:tc>
        <w:tc>
          <w:tcPr>
            <w:tcW w:w="644" w:type="pct"/>
            <w:vMerge w:val="restart"/>
            <w:shd w:val="clear" w:color="000000" w:fill="D0CECE"/>
            <w:vAlign w:val="center"/>
          </w:tcPr>
          <w:p>
            <w:pPr>
              <w:jc w:val="center"/>
              <w:rPr>
                <w:rFonts w:hint="eastAsia" w:ascii="宋体" w:hAnsi="宋体" w:eastAsia="宋体" w:cs="宋体"/>
                <w:b/>
                <w:bCs/>
                <w:color w:val="000000"/>
                <w:szCs w:val="20"/>
              </w:rPr>
            </w:pPr>
            <w:r>
              <w:rPr>
                <w:rFonts w:hint="eastAsia" w:ascii="宋体" w:hAnsi="宋体" w:eastAsia="宋体" w:cs="宋体"/>
                <w:b/>
                <w:bCs/>
                <w:color w:val="000000"/>
                <w:szCs w:val="20"/>
              </w:rPr>
              <w:t>土地性质</w:t>
            </w:r>
          </w:p>
        </w:tc>
        <w:tc>
          <w:tcPr>
            <w:tcW w:w="818" w:type="pct"/>
            <w:vMerge w:val="restart"/>
            <w:shd w:val="clear" w:color="000000" w:fill="D0CECE"/>
            <w:vAlign w:val="center"/>
          </w:tcPr>
          <w:p>
            <w:pPr>
              <w:jc w:val="center"/>
              <w:rPr>
                <w:rFonts w:hint="eastAsia" w:ascii="宋体" w:hAnsi="宋体" w:eastAsia="宋体" w:cs="宋体"/>
                <w:b/>
                <w:bCs/>
                <w:color w:val="000000"/>
                <w:szCs w:val="20"/>
              </w:rPr>
            </w:pPr>
            <w:r>
              <w:rPr>
                <w:rFonts w:hint="eastAsia" w:ascii="宋体" w:hAnsi="宋体" w:eastAsia="宋体" w:cs="宋体"/>
                <w:b/>
                <w:bCs/>
                <w:color w:val="000000"/>
                <w:szCs w:val="20"/>
              </w:rPr>
              <w:t>预计出让年限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70" w:hRule="atLeast"/>
          <w:tblHeader/>
          <w:jc w:val="center"/>
        </w:trPr>
        <w:tc>
          <w:tcPr>
            <w:tcW w:w="1162" w:type="pct"/>
            <w:vMerge w:val="continue"/>
            <w:vAlign w:val="center"/>
          </w:tcPr>
          <w:p>
            <w:pPr>
              <w:rPr>
                <w:rFonts w:hint="eastAsia" w:ascii="宋体" w:hAnsi="宋体" w:eastAsia="宋体" w:cs="宋体"/>
                <w:b/>
                <w:bCs/>
                <w:color w:val="000000"/>
                <w:szCs w:val="20"/>
              </w:rPr>
            </w:pPr>
          </w:p>
        </w:tc>
        <w:tc>
          <w:tcPr>
            <w:tcW w:w="995" w:type="pct"/>
            <w:vMerge w:val="continue"/>
            <w:vAlign w:val="center"/>
          </w:tcPr>
          <w:p>
            <w:pPr>
              <w:rPr>
                <w:rFonts w:hint="eastAsia" w:ascii="宋体" w:hAnsi="宋体" w:eastAsia="宋体" w:cs="宋体"/>
                <w:b/>
                <w:bCs/>
                <w:color w:val="000000"/>
                <w:szCs w:val="20"/>
              </w:rPr>
            </w:pPr>
          </w:p>
        </w:tc>
        <w:tc>
          <w:tcPr>
            <w:tcW w:w="616" w:type="pct"/>
            <w:shd w:val="clear" w:color="000000" w:fill="D0CECE"/>
            <w:vAlign w:val="center"/>
          </w:tcPr>
          <w:p>
            <w:pPr>
              <w:jc w:val="center"/>
              <w:rPr>
                <w:rFonts w:hint="eastAsia" w:ascii="宋体" w:hAnsi="宋体" w:eastAsia="宋体" w:cs="宋体"/>
                <w:b/>
                <w:bCs/>
                <w:color w:val="000000"/>
                <w:szCs w:val="20"/>
              </w:rPr>
            </w:pPr>
            <w:r>
              <w:rPr>
                <w:rFonts w:hint="eastAsia" w:ascii="宋体" w:hAnsi="宋体" w:eastAsia="宋体" w:cs="宋体"/>
                <w:b/>
                <w:bCs/>
                <w:color w:val="000000"/>
                <w:szCs w:val="20"/>
              </w:rPr>
              <w:t>（亩）</w:t>
            </w:r>
          </w:p>
        </w:tc>
        <w:tc>
          <w:tcPr>
            <w:tcW w:w="764" w:type="pct"/>
            <w:shd w:val="clear" w:color="000000" w:fill="D0CECE"/>
            <w:vAlign w:val="center"/>
          </w:tcPr>
          <w:p>
            <w:pPr>
              <w:jc w:val="center"/>
              <w:rPr>
                <w:rFonts w:hint="eastAsia" w:ascii="宋体" w:hAnsi="宋体" w:eastAsia="宋体" w:cs="宋体"/>
                <w:b/>
                <w:bCs/>
                <w:color w:val="000000"/>
                <w:szCs w:val="20"/>
              </w:rPr>
            </w:pPr>
            <w:r>
              <w:rPr>
                <w:rFonts w:hint="eastAsia" w:ascii="宋体" w:hAnsi="宋体" w:eastAsia="宋体" w:cs="宋体"/>
                <w:b/>
                <w:bCs/>
                <w:color w:val="000000"/>
                <w:szCs w:val="20"/>
              </w:rPr>
              <w:t>（万元/亩）</w:t>
            </w:r>
          </w:p>
        </w:tc>
        <w:tc>
          <w:tcPr>
            <w:tcW w:w="644" w:type="pct"/>
            <w:vMerge w:val="continue"/>
            <w:vAlign w:val="center"/>
          </w:tcPr>
          <w:p>
            <w:pPr>
              <w:rPr>
                <w:rFonts w:hint="eastAsia" w:ascii="宋体" w:hAnsi="宋体" w:eastAsia="宋体" w:cs="宋体"/>
                <w:b/>
                <w:bCs/>
                <w:color w:val="000000"/>
                <w:szCs w:val="20"/>
              </w:rPr>
            </w:pPr>
          </w:p>
        </w:tc>
        <w:tc>
          <w:tcPr>
            <w:tcW w:w="818" w:type="pct"/>
            <w:vMerge w:val="continue"/>
            <w:vAlign w:val="center"/>
          </w:tcPr>
          <w:p>
            <w:pPr>
              <w:rPr>
                <w:rFonts w:hint="eastAsia" w:ascii="宋体" w:hAnsi="宋体" w:eastAsia="宋体" w:cs="宋体"/>
                <w:b/>
                <w:bCs/>
                <w:color w:val="00000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70" w:hRule="atLeast"/>
          <w:jc w:val="center"/>
        </w:trPr>
        <w:tc>
          <w:tcPr>
            <w:tcW w:w="1162" w:type="pct"/>
            <w:shd w:val="clear" w:color="auto" w:fill="auto"/>
            <w:noWrap/>
            <w:vAlign w:val="center"/>
          </w:tcPr>
          <w:p>
            <w:pPr>
              <w:rPr>
                <w:rFonts w:hint="eastAsia" w:ascii="宋体" w:hAnsi="宋体" w:eastAsia="宋体" w:cs="宋体"/>
                <w:color w:val="000000"/>
                <w:szCs w:val="20"/>
              </w:rPr>
            </w:pPr>
            <w:r>
              <w:rPr>
                <w:rFonts w:hint="eastAsia" w:ascii="宋体" w:hAnsi="宋体" w:eastAsia="宋体" w:cs="宋体"/>
                <w:szCs w:val="20"/>
              </w:rPr>
              <w:t>海口市江东新区园区配套基础设施配套项目（三期）</w:t>
            </w:r>
          </w:p>
        </w:tc>
        <w:tc>
          <w:tcPr>
            <w:tcW w:w="995" w:type="pct"/>
            <w:shd w:val="clear" w:color="auto" w:fill="auto"/>
            <w:noWrap/>
            <w:vAlign w:val="center"/>
          </w:tcPr>
          <w:p>
            <w:pPr>
              <w:jc w:val="center"/>
              <w:rPr>
                <w:rFonts w:hint="eastAsia" w:ascii="宋体" w:hAnsi="宋体" w:eastAsia="宋体" w:cs="宋体"/>
                <w:color w:val="000000"/>
                <w:szCs w:val="20"/>
              </w:rPr>
            </w:pPr>
            <w:r>
              <w:rPr>
                <w:rFonts w:hint="eastAsia" w:ascii="宋体" w:hAnsi="宋体" w:eastAsia="宋体" w:cs="宋体"/>
                <w:color w:val="000000"/>
                <w:szCs w:val="20"/>
              </w:rPr>
              <w:t>JDZH-02-A09-1-10</w:t>
            </w:r>
          </w:p>
        </w:tc>
        <w:tc>
          <w:tcPr>
            <w:tcW w:w="616" w:type="pct"/>
            <w:shd w:val="clear" w:color="auto" w:fill="auto"/>
            <w:noWrap/>
            <w:vAlign w:val="center"/>
          </w:tcPr>
          <w:p>
            <w:pPr>
              <w:jc w:val="center"/>
              <w:rPr>
                <w:rFonts w:hint="eastAsia" w:ascii="宋体" w:hAnsi="宋体" w:eastAsia="宋体" w:cs="宋体"/>
                <w:color w:val="000000"/>
                <w:szCs w:val="20"/>
              </w:rPr>
            </w:pPr>
            <w:r>
              <w:rPr>
                <w:rFonts w:hint="eastAsia" w:ascii="宋体" w:hAnsi="宋体" w:eastAsia="宋体" w:cs="宋体"/>
                <w:color w:val="000000"/>
                <w:szCs w:val="20"/>
              </w:rPr>
              <w:t>1.08</w:t>
            </w:r>
          </w:p>
        </w:tc>
        <w:tc>
          <w:tcPr>
            <w:tcW w:w="764" w:type="pct"/>
            <w:shd w:val="clear" w:color="auto" w:fill="auto"/>
            <w:noWrap/>
            <w:vAlign w:val="center"/>
          </w:tcPr>
          <w:p>
            <w:pPr>
              <w:jc w:val="center"/>
              <w:rPr>
                <w:rFonts w:hint="eastAsia" w:ascii="宋体" w:hAnsi="宋体" w:eastAsia="宋体" w:cs="宋体"/>
                <w:color w:val="000000"/>
                <w:szCs w:val="20"/>
              </w:rPr>
            </w:pPr>
            <w:r>
              <w:rPr>
                <w:rFonts w:hint="eastAsia" w:ascii="宋体" w:hAnsi="宋体" w:eastAsia="宋体" w:cs="宋体"/>
                <w:color w:val="000000"/>
                <w:szCs w:val="20"/>
              </w:rPr>
              <w:t>1,500.00</w:t>
            </w:r>
          </w:p>
        </w:tc>
        <w:tc>
          <w:tcPr>
            <w:tcW w:w="644" w:type="pct"/>
            <w:shd w:val="clear" w:color="auto" w:fill="auto"/>
            <w:noWrap/>
            <w:vAlign w:val="center"/>
          </w:tcPr>
          <w:p>
            <w:pPr>
              <w:jc w:val="center"/>
              <w:rPr>
                <w:rFonts w:hint="eastAsia" w:ascii="宋体" w:hAnsi="宋体" w:eastAsia="宋体" w:cs="宋体"/>
                <w:color w:val="000000"/>
                <w:szCs w:val="20"/>
              </w:rPr>
            </w:pPr>
            <w:r>
              <w:rPr>
                <w:rFonts w:hint="eastAsia" w:ascii="宋体" w:hAnsi="宋体" w:eastAsia="宋体" w:cs="宋体"/>
                <w:color w:val="000000"/>
                <w:szCs w:val="20"/>
              </w:rPr>
              <w:t>二类居住</w:t>
            </w:r>
          </w:p>
        </w:tc>
        <w:tc>
          <w:tcPr>
            <w:tcW w:w="818" w:type="pct"/>
            <w:shd w:val="clear" w:color="auto" w:fill="auto"/>
            <w:noWrap/>
            <w:vAlign w:val="center"/>
          </w:tcPr>
          <w:p>
            <w:pPr>
              <w:jc w:val="center"/>
              <w:rPr>
                <w:rFonts w:hint="eastAsia" w:ascii="宋体" w:hAnsi="宋体" w:eastAsia="宋体" w:cs="宋体"/>
                <w:color w:val="000000"/>
                <w:szCs w:val="20"/>
              </w:rPr>
            </w:pPr>
            <w:r>
              <w:rPr>
                <w:rFonts w:hint="eastAsia" w:ascii="宋体" w:hAnsi="宋体" w:eastAsia="宋体" w:cs="宋体"/>
                <w:color w:val="000000"/>
                <w:szCs w:val="20"/>
              </w:rPr>
              <w:t>2026-2035</w:t>
            </w:r>
          </w:p>
        </w:tc>
      </w:tr>
    </w:tbl>
    <w:p>
      <w:pPr>
        <w:adjustRightInd w:val="0"/>
        <w:spacing w:before="120" w:after="12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（2）广告牌出租收入预测</w:t>
      </w:r>
    </w:p>
    <w:p>
      <w:pPr>
        <w:adjustRightInd w:val="0"/>
        <w:spacing w:before="120" w:after="12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本项目预留10个广告牌，结合周边同区域、同水平、同档位的广告出租单价暂按5,000.00元/个/月计算，基于谨慎性原则，运营期出租率暂按90%考虑。</w:t>
      </w:r>
    </w:p>
    <w:p>
      <w:pPr>
        <w:spacing w:before="120" w:after="120" w:line="360" w:lineRule="auto"/>
        <w:ind w:firstLine="482" w:firstLineChars="200"/>
        <w:outlineLvl w:val="2"/>
        <w:rPr>
          <w:rFonts w:hint="eastAsia" w:ascii="宋体" w:hAnsi="宋体" w:eastAsia="宋体" w:cs="宋体"/>
          <w:b/>
          <w:bCs/>
          <w:color w:val="000000"/>
          <w:sz w:val="24"/>
          <w:szCs w:val="24"/>
        </w:rPr>
      </w:pPr>
      <w:bookmarkStart w:id="30" w:name="_Toc200555441"/>
      <w:r>
        <w:rPr>
          <w:rFonts w:hint="eastAsia" w:ascii="宋体" w:hAnsi="宋体" w:eastAsia="宋体" w:cs="宋体"/>
          <w:b/>
          <w:bCs/>
          <w:color w:val="000000"/>
          <w:sz w:val="24"/>
          <w:szCs w:val="24"/>
        </w:rPr>
        <w:t>2.项目成本</w:t>
      </w:r>
      <w:bookmarkEnd w:id="30"/>
    </w:p>
    <w:p>
      <w:pPr>
        <w:spacing w:before="120" w:after="120" w:line="360" w:lineRule="auto"/>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（1）土地出让成本</w:t>
      </w:r>
    </w:p>
    <w:p>
      <w:pPr>
        <w:spacing w:before="120" w:after="120" w:line="360" w:lineRule="auto"/>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根据《财政部关于印发&lt;国有土地使用权出让收支管理办法&gt;的通知》（财综〔2006〕68号）等相关文件要求，海口市土地出让收入需计提国有土地收益基金农业土地开发资金、教育资金以及农田水利建设资金，上述各项资金计提比例暂按土地出让总价款的25%计提。按照预估的土地出让单价、出让计划及成本费用在项目存续期间有稳定的政府性基金收入及专项收入，可稳定覆盖债券存续期间各年利息及到期偿还本金的支出需求。</w:t>
      </w:r>
    </w:p>
    <w:p>
      <w:pPr>
        <w:spacing w:before="120" w:after="120" w:line="360" w:lineRule="auto"/>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（2）运营成本</w:t>
      </w:r>
    </w:p>
    <w:p>
      <w:pPr>
        <w:spacing w:before="120" w:after="120" w:line="360" w:lineRule="auto"/>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参考同类项目运营管理经验，运营成本一般按照项目运营收入的一定比例预估。参考同类项目运营成本占比数据，本项目运营成本暂按广告牌出租收入的20%测算。</w:t>
      </w:r>
    </w:p>
    <w:p>
      <w:pPr>
        <w:spacing w:before="120" w:after="120" w:line="360" w:lineRule="auto"/>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（3）相关税费</w:t>
      </w:r>
    </w:p>
    <w:p>
      <w:pPr>
        <w:spacing w:before="120" w:after="120" w:line="360" w:lineRule="auto"/>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A．增值税：根据《中华人民共和国增值税法》，广告牌出租收入增值税税率为9%。</w:t>
      </w:r>
    </w:p>
    <w:p>
      <w:pPr>
        <w:spacing w:before="120" w:after="120" w:line="360" w:lineRule="auto"/>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B．城建及教育费附加：根据《中华人民共和国城市维护建设税法》，市区税率为7%；根据《征收教育费附加的暂行规定》，教育费附加的税率为3%，地方教育费附加税率为2%。</w:t>
      </w:r>
    </w:p>
    <w:p>
      <w:pPr>
        <w:spacing w:before="120" w:after="120" w:line="360" w:lineRule="auto"/>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C．企业所得税：根据《海南自由贸易港建设总体方案》，对注册在海南自贸港并实质性运营的企业（负面清单行业除外），减按15%征收企业所得税。</w:t>
      </w:r>
    </w:p>
    <w:p>
      <w:pPr>
        <w:ind w:firstLine="482" w:firstLineChars="200"/>
        <w:jc w:val="center"/>
        <w:rPr>
          <w:rFonts w:hint="eastAsia" w:ascii="宋体" w:hAnsi="宋体" w:eastAsia="宋体" w:cs="宋体"/>
          <w:b/>
          <w:sz w:val="24"/>
          <w:szCs w:val="24"/>
        </w:rPr>
      </w:pPr>
      <w:r>
        <w:rPr>
          <w:rFonts w:hint="eastAsia" w:ascii="宋体" w:hAnsi="宋体" w:eastAsia="宋体" w:cs="宋体"/>
          <w:b/>
          <w:sz w:val="24"/>
          <w:szCs w:val="24"/>
        </w:rPr>
        <w:t>表9 海口市江东新区园区配套基础设施配套项目（三期）配套路网工程收入成本预测表</w:t>
      </w:r>
    </w:p>
    <w:p>
      <w:pPr>
        <w:ind w:firstLine="360" w:firstLineChars="200"/>
        <w:jc w:val="right"/>
        <w:rPr>
          <w:rFonts w:hint="eastAsia" w:ascii="宋体" w:hAnsi="宋体" w:eastAsia="宋体" w:cs="宋体"/>
          <w:sz w:val="18"/>
          <w:szCs w:val="18"/>
        </w:rPr>
      </w:pPr>
      <w:r>
        <w:rPr>
          <w:rFonts w:hint="eastAsia" w:ascii="宋体" w:hAnsi="宋体" w:eastAsia="宋体" w:cs="宋体"/>
          <w:sz w:val="18"/>
          <w:szCs w:val="18"/>
        </w:rPr>
        <w:t>单位：人民币万元</w:t>
      </w:r>
    </w:p>
    <w:tbl>
      <w:tblPr>
        <w:tblStyle w:val="1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44"/>
        <w:gridCol w:w="851"/>
        <w:gridCol w:w="1044"/>
        <w:gridCol w:w="1044"/>
        <w:gridCol w:w="1044"/>
        <w:gridCol w:w="1044"/>
        <w:gridCol w:w="10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439" w:type="pct"/>
            <w:shd w:val="clear" w:color="auto" w:fill="D8D8D8" w:themeFill="background1" w:themeFillShade="D9"/>
            <w:vAlign w:val="center"/>
          </w:tcPr>
          <w:p>
            <w:pPr>
              <w:jc w:val="center"/>
              <w:rPr>
                <w:rFonts w:hint="eastAsia" w:ascii="宋体" w:hAnsi="宋体" w:eastAsia="宋体" w:cs="等线 Light"/>
                <w:b/>
                <w:color w:val="000000"/>
                <w:szCs w:val="20"/>
              </w:rPr>
            </w:pPr>
            <w:r>
              <w:rPr>
                <w:rFonts w:hint="eastAsia" w:ascii="宋体" w:hAnsi="宋体" w:eastAsia="宋体" w:cs="等线 Light"/>
                <w:b/>
                <w:color w:val="000000"/>
                <w:szCs w:val="20"/>
                <w:lang w:eastAsia="zh-TW"/>
              </w:rPr>
              <w:t>运营期</w:t>
            </w:r>
          </w:p>
        </w:tc>
        <w:tc>
          <w:tcPr>
            <w:tcW w:w="476" w:type="pct"/>
            <w:shd w:val="clear" w:color="auto" w:fill="D8D8D8" w:themeFill="background1" w:themeFillShade="D9"/>
          </w:tcPr>
          <w:p>
            <w:pPr>
              <w:jc w:val="center"/>
              <w:rPr>
                <w:rFonts w:hint="eastAsia" w:ascii="宋体" w:hAnsi="宋体" w:eastAsia="宋体" w:cs="等线 Light"/>
                <w:b/>
                <w:szCs w:val="20"/>
              </w:rPr>
            </w:pPr>
            <w:r>
              <w:rPr>
                <w:rFonts w:hint="eastAsia" w:ascii="宋体" w:hAnsi="宋体" w:eastAsia="宋体" w:cs="等线 Light"/>
                <w:b/>
                <w:szCs w:val="20"/>
              </w:rPr>
              <w:t>2026</w:t>
            </w:r>
          </w:p>
        </w:tc>
        <w:tc>
          <w:tcPr>
            <w:tcW w:w="617" w:type="pct"/>
            <w:shd w:val="clear" w:color="auto" w:fill="D8D8D8" w:themeFill="background1" w:themeFillShade="D9"/>
            <w:vAlign w:val="center"/>
          </w:tcPr>
          <w:p>
            <w:pPr>
              <w:jc w:val="center"/>
              <w:rPr>
                <w:rFonts w:hint="eastAsia" w:ascii="宋体" w:hAnsi="宋体" w:eastAsia="宋体" w:cs="Cambria Math"/>
                <w:b/>
                <w:color w:val="000000"/>
                <w:szCs w:val="20"/>
                <w:lang w:eastAsia="zh-TW"/>
              </w:rPr>
            </w:pPr>
            <w:r>
              <w:rPr>
                <w:rFonts w:hint="eastAsia" w:ascii="宋体" w:hAnsi="宋体" w:eastAsia="宋体" w:cs="等线 Light"/>
                <w:b/>
                <w:szCs w:val="20"/>
              </w:rPr>
              <w:t>2027</w:t>
            </w:r>
          </w:p>
        </w:tc>
        <w:tc>
          <w:tcPr>
            <w:tcW w:w="617" w:type="pct"/>
            <w:shd w:val="clear" w:color="auto" w:fill="D8D8D8" w:themeFill="background1" w:themeFillShade="D9"/>
            <w:vAlign w:val="center"/>
          </w:tcPr>
          <w:p>
            <w:pPr>
              <w:jc w:val="center"/>
              <w:rPr>
                <w:rFonts w:hint="eastAsia" w:ascii="宋体" w:hAnsi="宋体" w:eastAsia="宋体" w:cs="Cambria Math"/>
                <w:b/>
                <w:color w:val="000000"/>
                <w:szCs w:val="20"/>
                <w:lang w:eastAsia="zh-TW"/>
              </w:rPr>
            </w:pPr>
            <w:r>
              <w:rPr>
                <w:rFonts w:hint="eastAsia" w:ascii="宋体" w:hAnsi="宋体" w:eastAsia="宋体" w:cs="等线 Light"/>
                <w:b/>
                <w:szCs w:val="20"/>
              </w:rPr>
              <w:t>2028</w:t>
            </w:r>
          </w:p>
        </w:tc>
        <w:tc>
          <w:tcPr>
            <w:tcW w:w="617" w:type="pct"/>
            <w:shd w:val="clear" w:color="auto" w:fill="D8D8D8" w:themeFill="background1" w:themeFillShade="D9"/>
            <w:vAlign w:val="center"/>
          </w:tcPr>
          <w:p>
            <w:pPr>
              <w:jc w:val="center"/>
              <w:rPr>
                <w:rFonts w:hint="eastAsia" w:ascii="宋体" w:hAnsi="宋体" w:eastAsia="宋体" w:cs="Cambria Math"/>
                <w:b/>
                <w:color w:val="000000"/>
                <w:szCs w:val="20"/>
                <w:lang w:eastAsia="zh-TW"/>
              </w:rPr>
            </w:pPr>
            <w:r>
              <w:rPr>
                <w:rFonts w:hint="eastAsia" w:ascii="宋体" w:hAnsi="宋体" w:eastAsia="宋体" w:cs="等线 Light"/>
                <w:b/>
                <w:szCs w:val="20"/>
              </w:rPr>
              <w:t>2</w:t>
            </w:r>
            <w:r>
              <w:rPr>
                <w:rFonts w:ascii="宋体" w:hAnsi="宋体" w:eastAsia="宋体" w:cs="等线 Light"/>
                <w:b/>
                <w:szCs w:val="20"/>
              </w:rPr>
              <w:t>029</w:t>
            </w:r>
          </w:p>
        </w:tc>
        <w:tc>
          <w:tcPr>
            <w:tcW w:w="617" w:type="pct"/>
            <w:shd w:val="clear" w:color="auto" w:fill="D8D8D8" w:themeFill="background1" w:themeFillShade="D9"/>
          </w:tcPr>
          <w:p>
            <w:pPr>
              <w:jc w:val="center"/>
              <w:rPr>
                <w:rFonts w:hint="eastAsia" w:ascii="宋体" w:hAnsi="宋体" w:eastAsia="宋体" w:cs="等线 Light"/>
                <w:b/>
                <w:szCs w:val="20"/>
              </w:rPr>
            </w:pPr>
            <w:r>
              <w:rPr>
                <w:rFonts w:hint="eastAsia" w:ascii="宋体" w:hAnsi="宋体" w:eastAsia="宋体" w:cs="等线 Light"/>
                <w:b/>
                <w:szCs w:val="20"/>
              </w:rPr>
              <w:t>2</w:t>
            </w:r>
            <w:r>
              <w:rPr>
                <w:rFonts w:ascii="宋体" w:hAnsi="宋体" w:eastAsia="宋体" w:cs="等线 Light"/>
                <w:b/>
                <w:szCs w:val="20"/>
              </w:rPr>
              <w:t>030</w:t>
            </w:r>
          </w:p>
        </w:tc>
        <w:tc>
          <w:tcPr>
            <w:tcW w:w="617" w:type="pct"/>
            <w:shd w:val="clear" w:color="auto" w:fill="D8D8D8" w:themeFill="background1" w:themeFillShade="D9"/>
            <w:vAlign w:val="center"/>
          </w:tcPr>
          <w:p>
            <w:pPr>
              <w:jc w:val="center"/>
              <w:rPr>
                <w:rFonts w:hint="eastAsia" w:ascii="宋体" w:hAnsi="宋体" w:eastAsia="宋体" w:cs="等线 Light"/>
                <w:b/>
                <w:szCs w:val="20"/>
              </w:rPr>
            </w:pPr>
            <w:r>
              <w:rPr>
                <w:rFonts w:hint="eastAsia" w:ascii="宋体" w:hAnsi="宋体" w:eastAsia="宋体" w:cs="Cambria Math"/>
                <w:b/>
                <w:color w:val="000000"/>
                <w:szCs w:val="20"/>
                <w:lang w:eastAsia="zh-TW"/>
              </w:rPr>
              <w:t>20</w:t>
            </w:r>
            <w:r>
              <w:rPr>
                <w:rFonts w:ascii="宋体" w:hAnsi="宋体" w:eastAsia="宋体" w:cs="Cambria Math"/>
                <w:b/>
                <w:color w:val="000000"/>
                <w:szCs w:val="20"/>
                <w:lang w:eastAsia="zh-TW"/>
              </w:rPr>
              <w:t>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439" w:type="pct"/>
            <w:shd w:val="clear" w:color="000000" w:fill="FFFFFF"/>
          </w:tcPr>
          <w:p>
            <w:pPr>
              <w:rPr>
                <w:rFonts w:hint="eastAsia" w:cs="等线 Light" w:asciiTheme="minorEastAsia" w:hAnsiTheme="minorEastAsia"/>
                <w:color w:val="000000"/>
                <w:szCs w:val="20"/>
              </w:rPr>
            </w:pPr>
            <w:r>
              <w:rPr>
                <w:rFonts w:hint="eastAsia" w:asciiTheme="minorEastAsia" w:hAnsiTheme="minorEastAsia"/>
              </w:rPr>
              <w:t>土地出让收入</w:t>
            </w:r>
          </w:p>
        </w:tc>
        <w:tc>
          <w:tcPr>
            <w:tcW w:w="476" w:type="pct"/>
            <w:shd w:val="clear" w:color="000000" w:fill="FFFFFF"/>
            <w:vAlign w:val="center"/>
          </w:tcPr>
          <w:p>
            <w:pPr>
              <w:jc w:val="right"/>
              <w:rPr>
                <w:rFonts w:hint="eastAsia" w:asciiTheme="minorEastAsia" w:hAnsiTheme="minorEastAsia"/>
                <w:color w:val="000000"/>
                <w:szCs w:val="20"/>
              </w:rPr>
            </w:pPr>
            <w:r>
              <w:rPr>
                <w:rFonts w:asciiTheme="minorEastAsia" w:hAnsiTheme="minorEastAsia"/>
              </w:rPr>
              <w:t>307.80</w:t>
            </w:r>
          </w:p>
        </w:tc>
        <w:tc>
          <w:tcPr>
            <w:tcW w:w="617" w:type="pct"/>
            <w:shd w:val="clear" w:color="000000" w:fill="FFFFFF"/>
            <w:vAlign w:val="center"/>
          </w:tcPr>
          <w:p>
            <w:pPr>
              <w:jc w:val="right"/>
              <w:rPr>
                <w:rFonts w:hint="eastAsia" w:asciiTheme="minorEastAsia" w:hAnsiTheme="minorEastAsia"/>
                <w:szCs w:val="20"/>
              </w:rPr>
            </w:pPr>
            <w:r>
              <w:rPr>
                <w:rFonts w:asciiTheme="minorEastAsia" w:hAnsiTheme="minorEastAsia"/>
              </w:rPr>
              <w:t>145.80</w:t>
            </w:r>
          </w:p>
        </w:tc>
        <w:tc>
          <w:tcPr>
            <w:tcW w:w="617" w:type="pct"/>
            <w:shd w:val="clear" w:color="000000" w:fill="FFFFFF"/>
            <w:vAlign w:val="center"/>
          </w:tcPr>
          <w:p>
            <w:pPr>
              <w:jc w:val="right"/>
              <w:rPr>
                <w:rFonts w:hint="eastAsia" w:asciiTheme="minorEastAsia" w:hAnsiTheme="minorEastAsia"/>
                <w:szCs w:val="20"/>
              </w:rPr>
            </w:pPr>
            <w:r>
              <w:rPr>
                <w:rFonts w:asciiTheme="minorEastAsia" w:hAnsiTheme="minorEastAsia"/>
              </w:rPr>
              <w:t>145.80</w:t>
            </w:r>
          </w:p>
        </w:tc>
        <w:tc>
          <w:tcPr>
            <w:tcW w:w="617" w:type="pct"/>
            <w:shd w:val="clear" w:color="000000" w:fill="FFFFFF"/>
            <w:vAlign w:val="center"/>
          </w:tcPr>
          <w:p>
            <w:pPr>
              <w:jc w:val="right"/>
              <w:rPr>
                <w:rFonts w:hint="eastAsia" w:asciiTheme="minorEastAsia" w:hAnsiTheme="minorEastAsia"/>
                <w:szCs w:val="20"/>
              </w:rPr>
            </w:pPr>
            <w:r>
              <w:rPr>
                <w:rFonts w:asciiTheme="minorEastAsia" w:hAnsiTheme="minorEastAsia"/>
              </w:rPr>
              <w:t>145.80</w:t>
            </w:r>
          </w:p>
        </w:tc>
        <w:tc>
          <w:tcPr>
            <w:tcW w:w="617" w:type="pct"/>
            <w:shd w:val="clear" w:color="000000" w:fill="FFFFFF"/>
            <w:vAlign w:val="center"/>
          </w:tcPr>
          <w:p>
            <w:pPr>
              <w:jc w:val="right"/>
              <w:rPr>
                <w:rFonts w:hint="eastAsia" w:asciiTheme="minorEastAsia" w:hAnsiTheme="minorEastAsia"/>
                <w:b/>
                <w:bCs/>
                <w:szCs w:val="20"/>
              </w:rPr>
            </w:pPr>
            <w:r>
              <w:rPr>
                <w:rFonts w:asciiTheme="minorEastAsia" w:hAnsiTheme="minorEastAsia"/>
              </w:rPr>
              <w:t>145.80</w:t>
            </w:r>
          </w:p>
        </w:tc>
        <w:tc>
          <w:tcPr>
            <w:tcW w:w="617" w:type="pct"/>
            <w:shd w:val="clear" w:color="000000" w:fill="FFFFFF"/>
            <w:vAlign w:val="center"/>
          </w:tcPr>
          <w:p>
            <w:pPr>
              <w:jc w:val="right"/>
              <w:rPr>
                <w:rFonts w:hint="eastAsia" w:asciiTheme="minorEastAsia" w:hAnsiTheme="minorEastAsia"/>
                <w:color w:val="000000"/>
                <w:szCs w:val="20"/>
              </w:rPr>
            </w:pPr>
            <w:r>
              <w:rPr>
                <w:rFonts w:asciiTheme="minorEastAsia" w:hAnsiTheme="minorEastAsia"/>
              </w:rPr>
              <w:t>145.80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439" w:type="pct"/>
            <w:shd w:val="clear" w:color="000000" w:fill="FFFFFF"/>
          </w:tcPr>
          <w:p>
            <w:pPr>
              <w:rPr>
                <w:rFonts w:hint="eastAsia" w:cs="等线 Light" w:asciiTheme="minorEastAsia" w:hAnsiTheme="minorEastAsia"/>
                <w:b/>
                <w:color w:val="000000"/>
                <w:szCs w:val="20"/>
                <w:lang w:eastAsia="zh-TW"/>
              </w:rPr>
            </w:pPr>
            <w:r>
              <w:rPr>
                <w:rFonts w:hint="eastAsia" w:asciiTheme="minorEastAsia" w:hAnsiTheme="minorEastAsia"/>
              </w:rPr>
              <w:t>广告牌出租收入</w:t>
            </w:r>
          </w:p>
        </w:tc>
        <w:tc>
          <w:tcPr>
            <w:tcW w:w="476" w:type="pct"/>
            <w:shd w:val="clear" w:color="000000" w:fill="FFFFFF"/>
            <w:vAlign w:val="center"/>
          </w:tcPr>
          <w:p>
            <w:pPr>
              <w:jc w:val="right"/>
              <w:rPr>
                <w:rFonts w:hint="eastAsia" w:asciiTheme="minorEastAsia" w:hAnsiTheme="minorEastAsia"/>
                <w:b/>
                <w:bCs/>
              </w:rPr>
            </w:pPr>
            <w:r>
              <w:rPr>
                <w:rFonts w:asciiTheme="minorEastAsia" w:hAnsiTheme="minorEastAsia"/>
              </w:rPr>
              <w:t>54.00</w:t>
            </w:r>
          </w:p>
        </w:tc>
        <w:tc>
          <w:tcPr>
            <w:tcW w:w="617" w:type="pct"/>
            <w:shd w:val="clear" w:color="000000" w:fill="FFFFFF"/>
            <w:vAlign w:val="center"/>
          </w:tcPr>
          <w:p>
            <w:pPr>
              <w:jc w:val="right"/>
              <w:rPr>
                <w:rFonts w:hint="eastAsia" w:asciiTheme="minorEastAsia" w:hAnsiTheme="minorEastAsia"/>
                <w:b/>
                <w:bCs/>
              </w:rPr>
            </w:pPr>
            <w:r>
              <w:rPr>
                <w:rFonts w:asciiTheme="minorEastAsia" w:hAnsiTheme="minorEastAsia"/>
              </w:rPr>
              <w:t>54.00</w:t>
            </w:r>
          </w:p>
        </w:tc>
        <w:tc>
          <w:tcPr>
            <w:tcW w:w="617" w:type="pct"/>
            <w:shd w:val="clear" w:color="000000" w:fill="FFFFFF"/>
            <w:vAlign w:val="center"/>
          </w:tcPr>
          <w:p>
            <w:pPr>
              <w:jc w:val="right"/>
              <w:rPr>
                <w:rFonts w:hint="eastAsia" w:asciiTheme="minorEastAsia" w:hAnsiTheme="minorEastAsia"/>
                <w:b/>
                <w:bCs/>
              </w:rPr>
            </w:pPr>
            <w:r>
              <w:rPr>
                <w:rFonts w:asciiTheme="minorEastAsia" w:hAnsiTheme="minorEastAsia"/>
              </w:rPr>
              <w:t>54.00</w:t>
            </w:r>
          </w:p>
        </w:tc>
        <w:tc>
          <w:tcPr>
            <w:tcW w:w="617" w:type="pct"/>
            <w:shd w:val="clear" w:color="000000" w:fill="FFFFFF"/>
            <w:vAlign w:val="center"/>
          </w:tcPr>
          <w:p>
            <w:pPr>
              <w:jc w:val="right"/>
              <w:rPr>
                <w:rFonts w:hint="eastAsia" w:asciiTheme="minorEastAsia" w:hAnsiTheme="minorEastAsia"/>
                <w:b/>
                <w:bCs/>
              </w:rPr>
            </w:pPr>
            <w:r>
              <w:rPr>
                <w:rFonts w:asciiTheme="minorEastAsia" w:hAnsiTheme="minorEastAsia"/>
              </w:rPr>
              <w:t>54.00</w:t>
            </w:r>
          </w:p>
        </w:tc>
        <w:tc>
          <w:tcPr>
            <w:tcW w:w="617" w:type="pct"/>
            <w:shd w:val="clear" w:color="000000" w:fill="FFFFFF"/>
            <w:vAlign w:val="center"/>
          </w:tcPr>
          <w:p>
            <w:pPr>
              <w:jc w:val="right"/>
              <w:rPr>
                <w:rFonts w:hint="eastAsia" w:asciiTheme="minorEastAsia" w:hAnsiTheme="minorEastAsia"/>
                <w:b/>
                <w:bCs/>
              </w:rPr>
            </w:pPr>
            <w:r>
              <w:rPr>
                <w:rFonts w:asciiTheme="minorEastAsia" w:hAnsiTheme="minorEastAsia"/>
              </w:rPr>
              <w:t>54.00</w:t>
            </w:r>
          </w:p>
        </w:tc>
        <w:tc>
          <w:tcPr>
            <w:tcW w:w="617" w:type="pct"/>
            <w:shd w:val="clear" w:color="000000" w:fill="FFFFFF"/>
            <w:vAlign w:val="center"/>
          </w:tcPr>
          <w:p>
            <w:pPr>
              <w:jc w:val="right"/>
              <w:rPr>
                <w:rFonts w:hint="eastAsia" w:asciiTheme="minorEastAsia" w:hAnsiTheme="minorEastAsia"/>
                <w:b/>
                <w:bCs/>
              </w:rPr>
            </w:pPr>
            <w:r>
              <w:rPr>
                <w:rFonts w:asciiTheme="minorEastAsia" w:hAnsiTheme="minorEastAsia"/>
              </w:rPr>
              <w:t>54.00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439" w:type="pct"/>
            <w:shd w:val="clear" w:color="000000" w:fill="FFFFFF"/>
          </w:tcPr>
          <w:p>
            <w:pPr>
              <w:rPr>
                <w:rFonts w:hint="eastAsia" w:cs="等线 Light" w:asciiTheme="minorEastAsia" w:hAnsiTheme="minorEastAsia"/>
                <w:b/>
                <w:bCs/>
                <w:color w:val="000000"/>
                <w:szCs w:val="20"/>
                <w:lang w:eastAsia="zh-TW"/>
              </w:rPr>
            </w:pPr>
            <w:r>
              <w:rPr>
                <w:rFonts w:hint="eastAsia" w:asciiTheme="minorEastAsia" w:hAnsiTheme="minorEastAsia"/>
                <w:b/>
                <w:bCs/>
              </w:rPr>
              <w:t>收入合计</w:t>
            </w:r>
          </w:p>
        </w:tc>
        <w:tc>
          <w:tcPr>
            <w:tcW w:w="476" w:type="pct"/>
            <w:shd w:val="clear" w:color="000000" w:fill="FFFFFF"/>
            <w:vAlign w:val="center"/>
          </w:tcPr>
          <w:p>
            <w:pPr>
              <w:jc w:val="right"/>
              <w:rPr>
                <w:rFonts w:hint="eastAsia" w:asciiTheme="minorEastAsia" w:hAnsiTheme="minorEastAsia"/>
                <w:b/>
                <w:bCs/>
              </w:rPr>
            </w:pPr>
            <w:r>
              <w:rPr>
                <w:rFonts w:asciiTheme="minorEastAsia" w:hAnsiTheme="minorEastAsia"/>
                <w:b/>
                <w:bCs/>
              </w:rPr>
              <w:t>361.80</w:t>
            </w:r>
          </w:p>
        </w:tc>
        <w:tc>
          <w:tcPr>
            <w:tcW w:w="617" w:type="pct"/>
            <w:shd w:val="clear" w:color="000000" w:fill="FFFFFF"/>
            <w:vAlign w:val="center"/>
          </w:tcPr>
          <w:p>
            <w:pPr>
              <w:jc w:val="right"/>
              <w:rPr>
                <w:rFonts w:hint="eastAsia" w:asciiTheme="minorEastAsia" w:hAnsiTheme="minorEastAsia"/>
                <w:b/>
                <w:bCs/>
              </w:rPr>
            </w:pPr>
            <w:r>
              <w:rPr>
                <w:rFonts w:asciiTheme="minorEastAsia" w:hAnsiTheme="minorEastAsia"/>
                <w:b/>
                <w:bCs/>
              </w:rPr>
              <w:t>199.80</w:t>
            </w:r>
          </w:p>
        </w:tc>
        <w:tc>
          <w:tcPr>
            <w:tcW w:w="617" w:type="pct"/>
            <w:shd w:val="clear" w:color="000000" w:fill="FFFFFF"/>
            <w:vAlign w:val="center"/>
          </w:tcPr>
          <w:p>
            <w:pPr>
              <w:jc w:val="right"/>
              <w:rPr>
                <w:rFonts w:hint="eastAsia" w:asciiTheme="minorEastAsia" w:hAnsiTheme="minorEastAsia"/>
                <w:b/>
                <w:bCs/>
              </w:rPr>
            </w:pPr>
            <w:r>
              <w:rPr>
                <w:rFonts w:asciiTheme="minorEastAsia" w:hAnsiTheme="minorEastAsia"/>
                <w:b/>
                <w:bCs/>
              </w:rPr>
              <w:t>199.80</w:t>
            </w:r>
          </w:p>
        </w:tc>
        <w:tc>
          <w:tcPr>
            <w:tcW w:w="617" w:type="pct"/>
            <w:shd w:val="clear" w:color="000000" w:fill="FFFFFF"/>
            <w:vAlign w:val="center"/>
          </w:tcPr>
          <w:p>
            <w:pPr>
              <w:jc w:val="right"/>
              <w:rPr>
                <w:rFonts w:hint="eastAsia" w:asciiTheme="minorEastAsia" w:hAnsiTheme="minorEastAsia"/>
                <w:b/>
                <w:bCs/>
              </w:rPr>
            </w:pPr>
            <w:r>
              <w:rPr>
                <w:rFonts w:asciiTheme="minorEastAsia" w:hAnsiTheme="minorEastAsia"/>
                <w:b/>
                <w:bCs/>
              </w:rPr>
              <w:t>199.80</w:t>
            </w:r>
          </w:p>
        </w:tc>
        <w:tc>
          <w:tcPr>
            <w:tcW w:w="617" w:type="pct"/>
            <w:shd w:val="clear" w:color="000000" w:fill="FFFFFF"/>
            <w:vAlign w:val="center"/>
          </w:tcPr>
          <w:p>
            <w:pPr>
              <w:jc w:val="right"/>
              <w:rPr>
                <w:rFonts w:hint="eastAsia" w:asciiTheme="minorEastAsia" w:hAnsiTheme="minorEastAsia"/>
                <w:b/>
                <w:bCs/>
              </w:rPr>
            </w:pPr>
            <w:r>
              <w:rPr>
                <w:rFonts w:asciiTheme="minorEastAsia" w:hAnsiTheme="minorEastAsia"/>
                <w:b/>
                <w:bCs/>
              </w:rPr>
              <w:t>199.80</w:t>
            </w:r>
          </w:p>
        </w:tc>
        <w:tc>
          <w:tcPr>
            <w:tcW w:w="617" w:type="pct"/>
            <w:shd w:val="clear" w:color="000000" w:fill="FFFFFF"/>
            <w:vAlign w:val="center"/>
          </w:tcPr>
          <w:p>
            <w:pPr>
              <w:jc w:val="right"/>
              <w:rPr>
                <w:rFonts w:hint="eastAsia" w:asciiTheme="minorEastAsia" w:hAnsiTheme="minorEastAsia"/>
                <w:b/>
                <w:bCs/>
              </w:rPr>
            </w:pPr>
            <w:r>
              <w:rPr>
                <w:rFonts w:asciiTheme="minorEastAsia" w:hAnsiTheme="minorEastAsia"/>
                <w:b/>
                <w:bCs/>
              </w:rPr>
              <w:t>199.80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439" w:type="pct"/>
            <w:shd w:val="clear" w:color="000000" w:fill="FFFFFF"/>
          </w:tcPr>
          <w:p>
            <w:pPr>
              <w:rPr>
                <w:rFonts w:hint="eastAsia" w:cs="等线 Light" w:asciiTheme="minorEastAsia" w:hAnsiTheme="minorEastAsia"/>
                <w:b/>
                <w:color w:val="000000"/>
                <w:szCs w:val="20"/>
                <w:lang w:eastAsia="zh-TW"/>
              </w:rPr>
            </w:pPr>
            <w:r>
              <w:rPr>
                <w:rFonts w:hint="eastAsia" w:asciiTheme="minorEastAsia" w:hAnsiTheme="minorEastAsia"/>
              </w:rPr>
              <w:t>土地出让成本</w:t>
            </w:r>
          </w:p>
        </w:tc>
        <w:tc>
          <w:tcPr>
            <w:tcW w:w="476" w:type="pct"/>
            <w:shd w:val="clear" w:color="000000" w:fill="FFFFFF"/>
            <w:vAlign w:val="center"/>
          </w:tcPr>
          <w:p>
            <w:pPr>
              <w:jc w:val="right"/>
              <w:rPr>
                <w:rFonts w:hint="eastAsia" w:asciiTheme="minorEastAsia" w:hAnsiTheme="minorEastAsia"/>
                <w:b/>
                <w:bCs/>
              </w:rPr>
            </w:pPr>
            <w:r>
              <w:rPr>
                <w:rFonts w:asciiTheme="minorEastAsia" w:hAnsiTheme="minorEastAsia"/>
              </w:rPr>
              <w:t>76.95</w:t>
            </w:r>
          </w:p>
        </w:tc>
        <w:tc>
          <w:tcPr>
            <w:tcW w:w="617" w:type="pct"/>
            <w:shd w:val="clear" w:color="000000" w:fill="FFFFFF"/>
            <w:vAlign w:val="center"/>
          </w:tcPr>
          <w:p>
            <w:pPr>
              <w:jc w:val="right"/>
              <w:rPr>
                <w:rFonts w:hint="eastAsia" w:asciiTheme="minorEastAsia" w:hAnsiTheme="minorEastAsia"/>
                <w:b/>
                <w:bCs/>
              </w:rPr>
            </w:pPr>
            <w:r>
              <w:rPr>
                <w:rFonts w:asciiTheme="minorEastAsia" w:hAnsiTheme="minorEastAsia"/>
              </w:rPr>
              <w:t>36.45</w:t>
            </w:r>
          </w:p>
        </w:tc>
        <w:tc>
          <w:tcPr>
            <w:tcW w:w="617" w:type="pct"/>
            <w:shd w:val="clear" w:color="000000" w:fill="FFFFFF"/>
            <w:vAlign w:val="center"/>
          </w:tcPr>
          <w:p>
            <w:pPr>
              <w:jc w:val="right"/>
              <w:rPr>
                <w:rFonts w:hint="eastAsia" w:asciiTheme="minorEastAsia" w:hAnsiTheme="minorEastAsia"/>
                <w:b/>
                <w:bCs/>
              </w:rPr>
            </w:pPr>
            <w:r>
              <w:rPr>
                <w:rFonts w:asciiTheme="minorEastAsia" w:hAnsiTheme="minorEastAsia"/>
              </w:rPr>
              <w:t>36.45</w:t>
            </w:r>
          </w:p>
        </w:tc>
        <w:tc>
          <w:tcPr>
            <w:tcW w:w="617" w:type="pct"/>
            <w:shd w:val="clear" w:color="000000" w:fill="FFFFFF"/>
            <w:vAlign w:val="center"/>
          </w:tcPr>
          <w:p>
            <w:pPr>
              <w:jc w:val="right"/>
              <w:rPr>
                <w:rFonts w:hint="eastAsia" w:asciiTheme="minorEastAsia" w:hAnsiTheme="minorEastAsia"/>
                <w:b/>
                <w:bCs/>
              </w:rPr>
            </w:pPr>
            <w:r>
              <w:rPr>
                <w:rFonts w:asciiTheme="minorEastAsia" w:hAnsiTheme="minorEastAsia"/>
              </w:rPr>
              <w:t>36.45</w:t>
            </w:r>
          </w:p>
        </w:tc>
        <w:tc>
          <w:tcPr>
            <w:tcW w:w="617" w:type="pct"/>
            <w:shd w:val="clear" w:color="000000" w:fill="FFFFFF"/>
            <w:vAlign w:val="center"/>
          </w:tcPr>
          <w:p>
            <w:pPr>
              <w:jc w:val="right"/>
              <w:rPr>
                <w:rFonts w:hint="eastAsia" w:asciiTheme="minorEastAsia" w:hAnsiTheme="minorEastAsia"/>
                <w:b/>
                <w:bCs/>
              </w:rPr>
            </w:pPr>
            <w:r>
              <w:rPr>
                <w:rFonts w:asciiTheme="minorEastAsia" w:hAnsiTheme="minorEastAsia"/>
              </w:rPr>
              <w:t>36.45</w:t>
            </w:r>
          </w:p>
        </w:tc>
        <w:tc>
          <w:tcPr>
            <w:tcW w:w="617" w:type="pct"/>
            <w:shd w:val="clear" w:color="000000" w:fill="FFFFFF"/>
            <w:vAlign w:val="center"/>
          </w:tcPr>
          <w:p>
            <w:pPr>
              <w:jc w:val="right"/>
              <w:rPr>
                <w:rFonts w:hint="eastAsia" w:asciiTheme="minorEastAsia" w:hAnsiTheme="minorEastAsia"/>
                <w:b/>
                <w:bCs/>
              </w:rPr>
            </w:pPr>
            <w:r>
              <w:rPr>
                <w:rFonts w:asciiTheme="minorEastAsia" w:hAnsiTheme="minorEastAsia"/>
              </w:rPr>
              <w:t>36.45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439" w:type="pct"/>
            <w:shd w:val="clear" w:color="000000" w:fill="FFFFFF"/>
          </w:tcPr>
          <w:p>
            <w:pPr>
              <w:rPr>
                <w:rFonts w:hint="eastAsia" w:cs="等线 Light" w:asciiTheme="minorEastAsia" w:hAnsiTheme="minorEastAsia"/>
                <w:b/>
                <w:color w:val="000000"/>
                <w:szCs w:val="20"/>
              </w:rPr>
            </w:pPr>
            <w:r>
              <w:rPr>
                <w:rFonts w:hint="eastAsia" w:asciiTheme="minorEastAsia" w:hAnsiTheme="minorEastAsia"/>
              </w:rPr>
              <w:t>运营成本</w:t>
            </w:r>
          </w:p>
        </w:tc>
        <w:tc>
          <w:tcPr>
            <w:tcW w:w="476" w:type="pct"/>
            <w:shd w:val="clear" w:color="000000" w:fill="FFFFFF"/>
            <w:vAlign w:val="center"/>
          </w:tcPr>
          <w:p>
            <w:pPr>
              <w:jc w:val="right"/>
              <w:rPr>
                <w:rFonts w:hint="eastAsia" w:asciiTheme="minorEastAsia" w:hAnsiTheme="minorEastAsia"/>
                <w:b/>
                <w:bCs/>
                <w:color w:val="000000"/>
                <w:szCs w:val="20"/>
              </w:rPr>
            </w:pPr>
            <w:r>
              <w:rPr>
                <w:rFonts w:asciiTheme="minorEastAsia" w:hAnsiTheme="minorEastAsia"/>
              </w:rPr>
              <w:t>10.80</w:t>
            </w:r>
          </w:p>
        </w:tc>
        <w:tc>
          <w:tcPr>
            <w:tcW w:w="617" w:type="pct"/>
            <w:shd w:val="clear" w:color="000000" w:fill="FFFFFF"/>
            <w:vAlign w:val="center"/>
          </w:tcPr>
          <w:p>
            <w:pPr>
              <w:jc w:val="right"/>
              <w:rPr>
                <w:rFonts w:hint="eastAsia" w:asciiTheme="minorEastAsia" w:hAnsiTheme="minorEastAsia"/>
                <w:b/>
                <w:bCs/>
                <w:szCs w:val="20"/>
              </w:rPr>
            </w:pPr>
            <w:r>
              <w:rPr>
                <w:rFonts w:asciiTheme="minorEastAsia" w:hAnsiTheme="minorEastAsia"/>
              </w:rPr>
              <w:t>10.80</w:t>
            </w:r>
          </w:p>
        </w:tc>
        <w:tc>
          <w:tcPr>
            <w:tcW w:w="617" w:type="pct"/>
            <w:shd w:val="clear" w:color="000000" w:fill="FFFFFF"/>
            <w:vAlign w:val="center"/>
          </w:tcPr>
          <w:p>
            <w:pPr>
              <w:jc w:val="right"/>
              <w:rPr>
                <w:rFonts w:hint="eastAsia" w:asciiTheme="minorEastAsia" w:hAnsiTheme="minorEastAsia"/>
                <w:b/>
                <w:bCs/>
                <w:szCs w:val="20"/>
              </w:rPr>
            </w:pPr>
            <w:r>
              <w:rPr>
                <w:rFonts w:asciiTheme="minorEastAsia" w:hAnsiTheme="minorEastAsia"/>
              </w:rPr>
              <w:t>10.80</w:t>
            </w:r>
          </w:p>
        </w:tc>
        <w:tc>
          <w:tcPr>
            <w:tcW w:w="617" w:type="pct"/>
            <w:shd w:val="clear" w:color="000000" w:fill="FFFFFF"/>
            <w:vAlign w:val="center"/>
          </w:tcPr>
          <w:p>
            <w:pPr>
              <w:jc w:val="right"/>
              <w:rPr>
                <w:rFonts w:hint="eastAsia" w:asciiTheme="minorEastAsia" w:hAnsiTheme="minorEastAsia"/>
                <w:b/>
                <w:bCs/>
                <w:szCs w:val="20"/>
              </w:rPr>
            </w:pPr>
            <w:r>
              <w:rPr>
                <w:rFonts w:asciiTheme="minorEastAsia" w:hAnsiTheme="minorEastAsia"/>
              </w:rPr>
              <w:t>10.80</w:t>
            </w:r>
          </w:p>
        </w:tc>
        <w:tc>
          <w:tcPr>
            <w:tcW w:w="617" w:type="pct"/>
            <w:shd w:val="clear" w:color="000000" w:fill="FFFFFF"/>
            <w:vAlign w:val="center"/>
          </w:tcPr>
          <w:p>
            <w:pPr>
              <w:jc w:val="right"/>
              <w:rPr>
                <w:rFonts w:hint="eastAsia" w:asciiTheme="minorEastAsia" w:hAnsiTheme="minorEastAsia"/>
                <w:b/>
                <w:bCs/>
                <w:szCs w:val="20"/>
              </w:rPr>
            </w:pPr>
            <w:r>
              <w:rPr>
                <w:rFonts w:asciiTheme="minorEastAsia" w:hAnsiTheme="minorEastAsia"/>
              </w:rPr>
              <w:t>10.80</w:t>
            </w:r>
          </w:p>
        </w:tc>
        <w:tc>
          <w:tcPr>
            <w:tcW w:w="617" w:type="pct"/>
            <w:shd w:val="clear" w:color="000000" w:fill="FFFFFF"/>
            <w:vAlign w:val="center"/>
          </w:tcPr>
          <w:p>
            <w:pPr>
              <w:jc w:val="right"/>
              <w:rPr>
                <w:rFonts w:hint="eastAsia" w:asciiTheme="minorEastAsia" w:hAnsiTheme="minorEastAsia"/>
                <w:b/>
                <w:bCs/>
                <w:color w:val="000000"/>
                <w:szCs w:val="20"/>
              </w:rPr>
            </w:pPr>
            <w:r>
              <w:rPr>
                <w:rFonts w:asciiTheme="minorEastAsia" w:hAnsiTheme="minorEastAsia"/>
              </w:rPr>
              <w:t>10.80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439" w:type="pct"/>
            <w:shd w:val="clear" w:color="000000" w:fill="FFFFFF"/>
          </w:tcPr>
          <w:p>
            <w:pPr>
              <w:rPr>
                <w:rFonts w:hint="eastAsia" w:cs="等线 Light" w:asciiTheme="minorEastAsia" w:hAnsiTheme="minorEastAsia"/>
                <w:color w:val="000000"/>
                <w:szCs w:val="20"/>
              </w:rPr>
            </w:pPr>
            <w:r>
              <w:rPr>
                <w:rFonts w:hint="eastAsia" w:asciiTheme="minorEastAsia" w:hAnsiTheme="minorEastAsia"/>
              </w:rPr>
              <w:t>相关税费</w:t>
            </w:r>
          </w:p>
        </w:tc>
        <w:tc>
          <w:tcPr>
            <w:tcW w:w="476" w:type="pct"/>
            <w:shd w:val="clear" w:color="000000" w:fill="FFFFFF"/>
            <w:vAlign w:val="center"/>
          </w:tcPr>
          <w:p>
            <w:pPr>
              <w:jc w:val="right"/>
              <w:rPr>
                <w:rFonts w:hint="eastAsia" w:asciiTheme="minorEastAsia" w:hAnsiTheme="minorEastAsia"/>
                <w:color w:val="000000"/>
                <w:szCs w:val="20"/>
              </w:rPr>
            </w:pPr>
            <w:r>
              <w:rPr>
                <w:rFonts w:asciiTheme="minorEastAsia" w:hAnsiTheme="minorEastAsia"/>
              </w:rPr>
              <w:t>4.31</w:t>
            </w:r>
          </w:p>
        </w:tc>
        <w:tc>
          <w:tcPr>
            <w:tcW w:w="617" w:type="pct"/>
            <w:shd w:val="clear" w:color="000000" w:fill="FFFFFF"/>
            <w:vAlign w:val="center"/>
          </w:tcPr>
          <w:p>
            <w:pPr>
              <w:jc w:val="right"/>
              <w:rPr>
                <w:rFonts w:hint="eastAsia" w:asciiTheme="minorEastAsia" w:hAnsiTheme="minorEastAsia"/>
                <w:szCs w:val="20"/>
              </w:rPr>
            </w:pPr>
            <w:r>
              <w:rPr>
                <w:rFonts w:asciiTheme="minorEastAsia" w:hAnsiTheme="minorEastAsia"/>
              </w:rPr>
              <w:t>4.31</w:t>
            </w:r>
          </w:p>
        </w:tc>
        <w:tc>
          <w:tcPr>
            <w:tcW w:w="617" w:type="pct"/>
            <w:shd w:val="clear" w:color="000000" w:fill="FFFFFF"/>
            <w:vAlign w:val="center"/>
          </w:tcPr>
          <w:p>
            <w:pPr>
              <w:jc w:val="right"/>
              <w:rPr>
                <w:rFonts w:hint="eastAsia" w:asciiTheme="minorEastAsia" w:hAnsiTheme="minorEastAsia"/>
                <w:szCs w:val="20"/>
              </w:rPr>
            </w:pPr>
            <w:r>
              <w:rPr>
                <w:rFonts w:asciiTheme="minorEastAsia" w:hAnsiTheme="minorEastAsia"/>
              </w:rPr>
              <w:t>4.31</w:t>
            </w:r>
          </w:p>
        </w:tc>
        <w:tc>
          <w:tcPr>
            <w:tcW w:w="617" w:type="pct"/>
            <w:shd w:val="clear" w:color="000000" w:fill="FFFFFF"/>
            <w:vAlign w:val="center"/>
          </w:tcPr>
          <w:p>
            <w:pPr>
              <w:jc w:val="right"/>
              <w:rPr>
                <w:rFonts w:hint="eastAsia" w:asciiTheme="minorEastAsia" w:hAnsiTheme="minorEastAsia"/>
                <w:szCs w:val="20"/>
              </w:rPr>
            </w:pPr>
            <w:r>
              <w:rPr>
                <w:rFonts w:asciiTheme="minorEastAsia" w:hAnsiTheme="minorEastAsia"/>
              </w:rPr>
              <w:t>4.31</w:t>
            </w:r>
          </w:p>
        </w:tc>
        <w:tc>
          <w:tcPr>
            <w:tcW w:w="617" w:type="pct"/>
            <w:shd w:val="clear" w:color="000000" w:fill="FFFFFF"/>
            <w:vAlign w:val="center"/>
          </w:tcPr>
          <w:p>
            <w:pPr>
              <w:jc w:val="right"/>
              <w:rPr>
                <w:rFonts w:hint="eastAsia" w:asciiTheme="minorEastAsia" w:hAnsiTheme="minorEastAsia"/>
                <w:b/>
                <w:bCs/>
                <w:szCs w:val="20"/>
              </w:rPr>
            </w:pPr>
            <w:r>
              <w:rPr>
                <w:rFonts w:asciiTheme="minorEastAsia" w:hAnsiTheme="minorEastAsia"/>
              </w:rPr>
              <w:t>4.31</w:t>
            </w:r>
          </w:p>
        </w:tc>
        <w:tc>
          <w:tcPr>
            <w:tcW w:w="617" w:type="pct"/>
            <w:shd w:val="clear" w:color="000000" w:fill="FFFFFF"/>
            <w:vAlign w:val="center"/>
          </w:tcPr>
          <w:p>
            <w:pPr>
              <w:jc w:val="right"/>
              <w:rPr>
                <w:rFonts w:hint="eastAsia" w:asciiTheme="minorEastAsia" w:hAnsiTheme="minorEastAsia"/>
                <w:color w:val="000000"/>
                <w:szCs w:val="20"/>
              </w:rPr>
            </w:pPr>
            <w:r>
              <w:rPr>
                <w:rFonts w:asciiTheme="minorEastAsia" w:hAnsiTheme="minorEastAsia"/>
              </w:rPr>
              <w:t>4.31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439" w:type="pct"/>
            <w:shd w:val="clear" w:color="000000" w:fill="FFFFFF"/>
          </w:tcPr>
          <w:p>
            <w:pPr>
              <w:rPr>
                <w:rFonts w:hint="eastAsia" w:cs="等线 Light" w:asciiTheme="minorEastAsia" w:hAnsiTheme="minorEastAsia"/>
                <w:b/>
                <w:bCs/>
                <w:color w:val="000000"/>
                <w:szCs w:val="20"/>
              </w:rPr>
            </w:pPr>
            <w:r>
              <w:rPr>
                <w:rFonts w:hint="eastAsia" w:asciiTheme="minorEastAsia" w:hAnsiTheme="minorEastAsia"/>
                <w:b/>
                <w:bCs/>
              </w:rPr>
              <w:t>成本合计</w:t>
            </w:r>
          </w:p>
        </w:tc>
        <w:tc>
          <w:tcPr>
            <w:tcW w:w="476" w:type="pct"/>
            <w:shd w:val="clear" w:color="000000" w:fill="FFFFFF"/>
            <w:vAlign w:val="center"/>
          </w:tcPr>
          <w:p>
            <w:pPr>
              <w:jc w:val="right"/>
              <w:rPr>
                <w:rFonts w:hint="eastAsia" w:asciiTheme="minorEastAsia" w:hAnsiTheme="minorEastAsia"/>
                <w:b/>
                <w:bCs/>
                <w:color w:val="000000"/>
                <w:szCs w:val="20"/>
              </w:rPr>
            </w:pPr>
            <w:r>
              <w:rPr>
                <w:rFonts w:asciiTheme="minorEastAsia" w:hAnsiTheme="minorEastAsia"/>
                <w:b/>
                <w:bCs/>
              </w:rPr>
              <w:t>92.06</w:t>
            </w:r>
          </w:p>
        </w:tc>
        <w:tc>
          <w:tcPr>
            <w:tcW w:w="617" w:type="pct"/>
            <w:shd w:val="clear" w:color="000000" w:fill="FFFFFF"/>
            <w:vAlign w:val="center"/>
          </w:tcPr>
          <w:p>
            <w:pPr>
              <w:jc w:val="right"/>
              <w:rPr>
                <w:rFonts w:hint="eastAsia" w:asciiTheme="minorEastAsia" w:hAnsiTheme="minorEastAsia"/>
                <w:b/>
                <w:bCs/>
                <w:szCs w:val="20"/>
              </w:rPr>
            </w:pPr>
            <w:r>
              <w:rPr>
                <w:rFonts w:asciiTheme="minorEastAsia" w:hAnsiTheme="minorEastAsia"/>
                <w:b/>
                <w:bCs/>
              </w:rPr>
              <w:t>51.56</w:t>
            </w:r>
          </w:p>
        </w:tc>
        <w:tc>
          <w:tcPr>
            <w:tcW w:w="617" w:type="pct"/>
            <w:shd w:val="clear" w:color="000000" w:fill="FFFFFF"/>
            <w:vAlign w:val="center"/>
          </w:tcPr>
          <w:p>
            <w:pPr>
              <w:jc w:val="right"/>
              <w:rPr>
                <w:rFonts w:hint="eastAsia" w:asciiTheme="minorEastAsia" w:hAnsiTheme="minorEastAsia"/>
                <w:b/>
                <w:bCs/>
                <w:szCs w:val="20"/>
              </w:rPr>
            </w:pPr>
            <w:r>
              <w:rPr>
                <w:rFonts w:asciiTheme="minorEastAsia" w:hAnsiTheme="minorEastAsia"/>
                <w:b/>
                <w:bCs/>
              </w:rPr>
              <w:t>51.56</w:t>
            </w:r>
          </w:p>
        </w:tc>
        <w:tc>
          <w:tcPr>
            <w:tcW w:w="617" w:type="pct"/>
            <w:shd w:val="clear" w:color="000000" w:fill="FFFFFF"/>
            <w:vAlign w:val="center"/>
          </w:tcPr>
          <w:p>
            <w:pPr>
              <w:jc w:val="right"/>
              <w:rPr>
                <w:rFonts w:hint="eastAsia" w:asciiTheme="minorEastAsia" w:hAnsiTheme="minorEastAsia"/>
                <w:b/>
                <w:bCs/>
                <w:szCs w:val="20"/>
              </w:rPr>
            </w:pPr>
            <w:r>
              <w:rPr>
                <w:rFonts w:asciiTheme="minorEastAsia" w:hAnsiTheme="minorEastAsia"/>
                <w:b/>
                <w:bCs/>
              </w:rPr>
              <w:t>51.56</w:t>
            </w:r>
          </w:p>
        </w:tc>
        <w:tc>
          <w:tcPr>
            <w:tcW w:w="617" w:type="pct"/>
            <w:shd w:val="clear" w:color="000000" w:fill="FFFFFF"/>
            <w:vAlign w:val="center"/>
          </w:tcPr>
          <w:p>
            <w:pPr>
              <w:jc w:val="right"/>
              <w:rPr>
                <w:rFonts w:hint="eastAsia" w:asciiTheme="minorEastAsia" w:hAnsiTheme="minorEastAsia"/>
                <w:b/>
                <w:bCs/>
                <w:szCs w:val="20"/>
              </w:rPr>
            </w:pPr>
            <w:r>
              <w:rPr>
                <w:rFonts w:asciiTheme="minorEastAsia" w:hAnsiTheme="minorEastAsia"/>
                <w:b/>
                <w:bCs/>
              </w:rPr>
              <w:t>51.56</w:t>
            </w:r>
          </w:p>
        </w:tc>
        <w:tc>
          <w:tcPr>
            <w:tcW w:w="617" w:type="pct"/>
            <w:shd w:val="clear" w:color="000000" w:fill="FFFFFF"/>
            <w:vAlign w:val="center"/>
          </w:tcPr>
          <w:p>
            <w:pPr>
              <w:jc w:val="right"/>
              <w:rPr>
                <w:rFonts w:hint="eastAsia" w:asciiTheme="minorEastAsia" w:hAnsiTheme="minorEastAsia"/>
                <w:b/>
                <w:bCs/>
                <w:color w:val="000000"/>
                <w:szCs w:val="20"/>
              </w:rPr>
            </w:pPr>
            <w:r>
              <w:rPr>
                <w:rFonts w:asciiTheme="minorEastAsia" w:hAnsiTheme="minorEastAsia"/>
                <w:b/>
                <w:bCs/>
              </w:rPr>
              <w:t>51.56</w:t>
            </w:r>
          </w:p>
        </w:tc>
      </w:tr>
    </w:tbl>
    <w:p>
      <w:pPr>
        <w:ind w:firstLine="480" w:firstLineChars="200"/>
        <w:rPr>
          <w:rFonts w:hint="eastAsia" w:ascii="宋体" w:hAnsi="宋体" w:eastAsia="宋体" w:cs="宋体"/>
          <w:sz w:val="24"/>
          <w:szCs w:val="24"/>
        </w:rPr>
      </w:pPr>
    </w:p>
    <w:tbl>
      <w:tblPr>
        <w:tblStyle w:val="1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39"/>
        <w:gridCol w:w="1080"/>
        <w:gridCol w:w="1082"/>
        <w:gridCol w:w="1080"/>
        <w:gridCol w:w="1082"/>
        <w:gridCol w:w="11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85" w:type="pct"/>
            <w:shd w:val="clear" w:color="auto" w:fill="D8D8D8" w:themeFill="background1" w:themeFillShade="D9"/>
            <w:vAlign w:val="center"/>
          </w:tcPr>
          <w:p>
            <w:pPr>
              <w:jc w:val="center"/>
              <w:rPr>
                <w:rFonts w:hint="eastAsia" w:cs="等线 Light" w:asciiTheme="minorEastAsia" w:hAnsiTheme="minorEastAsia"/>
                <w:b/>
                <w:color w:val="000000"/>
                <w:szCs w:val="20"/>
              </w:rPr>
            </w:pPr>
            <w:r>
              <w:rPr>
                <w:rFonts w:hint="eastAsia" w:cs="等线 Light" w:asciiTheme="minorEastAsia" w:hAnsiTheme="minorEastAsia"/>
                <w:b/>
                <w:color w:val="000000"/>
                <w:szCs w:val="20"/>
                <w:lang w:eastAsia="zh-TW"/>
              </w:rPr>
              <w:t>运营期</w:t>
            </w:r>
          </w:p>
        </w:tc>
        <w:tc>
          <w:tcPr>
            <w:tcW w:w="634" w:type="pct"/>
            <w:shd w:val="clear" w:color="auto" w:fill="D8D8D8" w:themeFill="background1" w:themeFillShade="D9"/>
            <w:vAlign w:val="center"/>
          </w:tcPr>
          <w:p>
            <w:pPr>
              <w:jc w:val="center"/>
              <w:rPr>
                <w:rFonts w:hint="eastAsia" w:cs="Cambria Math" w:asciiTheme="minorEastAsia" w:hAnsiTheme="minorEastAsia"/>
                <w:b/>
                <w:color w:val="000000"/>
                <w:szCs w:val="20"/>
              </w:rPr>
            </w:pPr>
            <w:r>
              <w:rPr>
                <w:rFonts w:hint="eastAsia" w:cs="Cambria Math" w:asciiTheme="minorEastAsia" w:hAnsiTheme="minorEastAsia"/>
                <w:b/>
                <w:color w:val="000000"/>
                <w:szCs w:val="20"/>
                <w:lang w:eastAsia="zh-TW"/>
              </w:rPr>
              <w:t>20</w:t>
            </w:r>
            <w:r>
              <w:rPr>
                <w:rFonts w:cs="Cambria Math" w:asciiTheme="minorEastAsia" w:hAnsiTheme="minorEastAsia"/>
                <w:b/>
                <w:color w:val="000000"/>
                <w:szCs w:val="20"/>
                <w:lang w:eastAsia="zh-TW"/>
              </w:rPr>
              <w:t>32</w:t>
            </w:r>
          </w:p>
        </w:tc>
        <w:tc>
          <w:tcPr>
            <w:tcW w:w="635" w:type="pct"/>
            <w:shd w:val="clear" w:color="auto" w:fill="D8D8D8" w:themeFill="background1" w:themeFillShade="D9"/>
            <w:vAlign w:val="center"/>
          </w:tcPr>
          <w:p>
            <w:pPr>
              <w:jc w:val="center"/>
              <w:rPr>
                <w:rFonts w:hint="eastAsia" w:cs="Cambria Math" w:asciiTheme="minorEastAsia" w:hAnsiTheme="minorEastAsia"/>
                <w:b/>
                <w:color w:val="000000"/>
                <w:szCs w:val="20"/>
              </w:rPr>
            </w:pPr>
            <w:r>
              <w:rPr>
                <w:rFonts w:hint="eastAsia" w:cs="Cambria Math" w:asciiTheme="minorEastAsia" w:hAnsiTheme="minorEastAsia"/>
                <w:b/>
                <w:color w:val="000000"/>
                <w:szCs w:val="20"/>
                <w:lang w:eastAsia="zh-TW"/>
              </w:rPr>
              <w:t>20</w:t>
            </w:r>
            <w:r>
              <w:rPr>
                <w:rFonts w:cs="Cambria Math" w:asciiTheme="minorEastAsia" w:hAnsiTheme="minorEastAsia"/>
                <w:b/>
                <w:color w:val="000000"/>
                <w:szCs w:val="20"/>
                <w:lang w:eastAsia="zh-TW"/>
              </w:rPr>
              <w:t>33</w:t>
            </w:r>
          </w:p>
        </w:tc>
        <w:tc>
          <w:tcPr>
            <w:tcW w:w="634" w:type="pct"/>
            <w:shd w:val="clear" w:color="auto" w:fill="D8D8D8" w:themeFill="background1" w:themeFillShade="D9"/>
            <w:vAlign w:val="center"/>
          </w:tcPr>
          <w:p>
            <w:pPr>
              <w:jc w:val="center"/>
              <w:rPr>
                <w:rFonts w:hint="eastAsia" w:cs="Cambria Math" w:asciiTheme="minorEastAsia" w:hAnsiTheme="minorEastAsia"/>
                <w:b/>
                <w:color w:val="000000"/>
                <w:szCs w:val="20"/>
                <w:lang w:eastAsia="zh-TW"/>
              </w:rPr>
            </w:pPr>
            <w:r>
              <w:rPr>
                <w:rFonts w:hint="eastAsia" w:cs="等线 Light" w:asciiTheme="minorEastAsia" w:hAnsiTheme="minorEastAsia"/>
                <w:b/>
                <w:szCs w:val="20"/>
              </w:rPr>
              <w:t>20</w:t>
            </w:r>
            <w:r>
              <w:rPr>
                <w:rFonts w:cs="等线 Light" w:asciiTheme="minorEastAsia" w:hAnsiTheme="minorEastAsia"/>
                <w:b/>
                <w:szCs w:val="20"/>
              </w:rPr>
              <w:t>34</w:t>
            </w:r>
          </w:p>
        </w:tc>
        <w:tc>
          <w:tcPr>
            <w:tcW w:w="635" w:type="pct"/>
            <w:shd w:val="clear" w:color="auto" w:fill="D8D8D8" w:themeFill="background1" w:themeFillShade="D9"/>
          </w:tcPr>
          <w:p>
            <w:pPr>
              <w:jc w:val="center"/>
              <w:rPr>
                <w:rFonts w:hint="eastAsia" w:cs="等线 Light" w:asciiTheme="minorEastAsia" w:hAnsiTheme="minorEastAsia"/>
                <w:b/>
                <w:szCs w:val="20"/>
              </w:rPr>
            </w:pPr>
            <w:r>
              <w:rPr>
                <w:rFonts w:hint="eastAsia" w:cs="等线 Light" w:asciiTheme="minorEastAsia" w:hAnsiTheme="minorEastAsia"/>
                <w:b/>
                <w:szCs w:val="20"/>
              </w:rPr>
              <w:t>2035</w:t>
            </w:r>
          </w:p>
        </w:tc>
        <w:tc>
          <w:tcPr>
            <w:tcW w:w="677" w:type="pct"/>
            <w:shd w:val="clear" w:color="auto" w:fill="D8D8D8" w:themeFill="background1" w:themeFillShade="D9"/>
            <w:vAlign w:val="center"/>
          </w:tcPr>
          <w:p>
            <w:pPr>
              <w:jc w:val="center"/>
              <w:rPr>
                <w:rFonts w:hint="eastAsia" w:cs="Cambria Math" w:asciiTheme="minorEastAsia" w:hAnsiTheme="minorEastAsia"/>
                <w:b/>
                <w:color w:val="000000"/>
                <w:szCs w:val="20"/>
                <w:lang w:eastAsia="zh-TW"/>
              </w:rPr>
            </w:pPr>
            <w:r>
              <w:rPr>
                <w:rFonts w:hint="eastAsia" w:cs="等线 Light" w:asciiTheme="minorEastAsia" w:hAnsiTheme="minorEastAsia"/>
                <w:b/>
                <w:szCs w:val="20"/>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85" w:type="pct"/>
            <w:shd w:val="clear" w:color="000000" w:fill="FFFFFF"/>
          </w:tcPr>
          <w:p>
            <w:pPr>
              <w:rPr>
                <w:rFonts w:hint="eastAsia" w:cs="等线 Light" w:asciiTheme="minorEastAsia" w:hAnsiTheme="minorEastAsia"/>
                <w:color w:val="000000"/>
                <w:szCs w:val="20"/>
              </w:rPr>
            </w:pPr>
            <w:r>
              <w:rPr>
                <w:rFonts w:hint="eastAsia" w:asciiTheme="minorEastAsia" w:hAnsiTheme="minorEastAsia"/>
              </w:rPr>
              <w:t>土地出让收入</w:t>
            </w:r>
          </w:p>
        </w:tc>
        <w:tc>
          <w:tcPr>
            <w:tcW w:w="634" w:type="pct"/>
            <w:shd w:val="clear" w:color="000000" w:fill="FFFFFF"/>
            <w:vAlign w:val="center"/>
          </w:tcPr>
          <w:p>
            <w:pPr>
              <w:jc w:val="right"/>
              <w:rPr>
                <w:rFonts w:hint="eastAsia" w:cs="等线 Light" w:asciiTheme="minorEastAsia" w:hAnsiTheme="minorEastAsia"/>
                <w:szCs w:val="20"/>
              </w:rPr>
            </w:pPr>
            <w:r>
              <w:rPr>
                <w:rFonts w:asciiTheme="minorEastAsia" w:hAnsiTheme="minorEastAsia"/>
              </w:rPr>
              <w:t>145.80</w:t>
            </w:r>
          </w:p>
        </w:tc>
        <w:tc>
          <w:tcPr>
            <w:tcW w:w="635" w:type="pct"/>
            <w:shd w:val="clear" w:color="000000" w:fill="FFFFFF"/>
            <w:vAlign w:val="center"/>
          </w:tcPr>
          <w:p>
            <w:pPr>
              <w:jc w:val="right"/>
              <w:rPr>
                <w:rFonts w:hint="eastAsia" w:cs="等线 Light" w:asciiTheme="minorEastAsia" w:hAnsiTheme="minorEastAsia"/>
                <w:szCs w:val="20"/>
              </w:rPr>
            </w:pPr>
            <w:r>
              <w:rPr>
                <w:rFonts w:asciiTheme="minorEastAsia" w:hAnsiTheme="minorEastAsia"/>
              </w:rPr>
              <w:t>145.80</w:t>
            </w:r>
          </w:p>
        </w:tc>
        <w:tc>
          <w:tcPr>
            <w:tcW w:w="634" w:type="pct"/>
            <w:shd w:val="clear" w:color="000000" w:fill="FFFFFF"/>
            <w:vAlign w:val="center"/>
          </w:tcPr>
          <w:p>
            <w:pPr>
              <w:jc w:val="right"/>
              <w:rPr>
                <w:rFonts w:hint="eastAsia" w:asciiTheme="minorEastAsia" w:hAnsiTheme="minorEastAsia"/>
                <w:szCs w:val="20"/>
              </w:rPr>
            </w:pPr>
            <w:r>
              <w:rPr>
                <w:rFonts w:asciiTheme="minorEastAsia" w:hAnsiTheme="minorEastAsia"/>
              </w:rPr>
              <w:t>145.80</w:t>
            </w:r>
          </w:p>
        </w:tc>
        <w:tc>
          <w:tcPr>
            <w:tcW w:w="635" w:type="pct"/>
            <w:shd w:val="clear" w:color="000000" w:fill="FFFFFF"/>
            <w:vAlign w:val="center"/>
          </w:tcPr>
          <w:p>
            <w:pPr>
              <w:jc w:val="right"/>
              <w:rPr>
                <w:rFonts w:hint="eastAsia" w:asciiTheme="minorEastAsia" w:hAnsiTheme="minorEastAsia"/>
                <w:b/>
                <w:bCs/>
                <w:color w:val="000000"/>
                <w:szCs w:val="20"/>
              </w:rPr>
            </w:pPr>
            <w:r>
              <w:rPr>
                <w:rFonts w:asciiTheme="minorEastAsia" w:hAnsiTheme="minorEastAsia"/>
              </w:rPr>
              <w:t>145.80</w:t>
            </w:r>
          </w:p>
        </w:tc>
        <w:tc>
          <w:tcPr>
            <w:tcW w:w="677" w:type="pct"/>
            <w:shd w:val="clear" w:color="000000" w:fill="FFFFFF"/>
            <w:vAlign w:val="center"/>
          </w:tcPr>
          <w:p>
            <w:pPr>
              <w:jc w:val="right"/>
              <w:rPr>
                <w:rFonts w:hint="eastAsia" w:asciiTheme="minorEastAsia" w:hAnsiTheme="minorEastAsia"/>
                <w:b/>
                <w:bCs/>
                <w:szCs w:val="20"/>
              </w:rPr>
            </w:pPr>
            <w:r>
              <w:rPr>
                <w:rFonts w:asciiTheme="minorEastAsia" w:hAnsiTheme="minorEastAsia"/>
                <w:b/>
                <w:bCs/>
              </w:rPr>
              <w:t>1,620.00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85" w:type="pct"/>
            <w:shd w:val="clear" w:color="000000" w:fill="FFFFFF"/>
          </w:tcPr>
          <w:p>
            <w:pPr>
              <w:rPr>
                <w:rFonts w:hint="eastAsia" w:cs="等线 Light" w:asciiTheme="minorEastAsia" w:hAnsiTheme="minorEastAsia"/>
                <w:b/>
                <w:color w:val="000000"/>
                <w:szCs w:val="20"/>
                <w:lang w:eastAsia="zh-TW"/>
              </w:rPr>
            </w:pPr>
            <w:r>
              <w:rPr>
                <w:rFonts w:hint="eastAsia" w:asciiTheme="minorEastAsia" w:hAnsiTheme="minorEastAsia"/>
              </w:rPr>
              <w:t>广告牌出租收入</w:t>
            </w:r>
          </w:p>
        </w:tc>
        <w:tc>
          <w:tcPr>
            <w:tcW w:w="634" w:type="pct"/>
            <w:shd w:val="clear" w:color="000000" w:fill="FFFFFF"/>
            <w:vAlign w:val="center"/>
          </w:tcPr>
          <w:p>
            <w:pPr>
              <w:jc w:val="right"/>
              <w:rPr>
                <w:rFonts w:hint="eastAsia" w:asciiTheme="minorEastAsia" w:hAnsiTheme="minorEastAsia"/>
                <w:b/>
                <w:bCs/>
              </w:rPr>
            </w:pPr>
            <w:r>
              <w:rPr>
                <w:rFonts w:asciiTheme="minorEastAsia" w:hAnsiTheme="minorEastAsia"/>
              </w:rPr>
              <w:t>54.00</w:t>
            </w:r>
          </w:p>
        </w:tc>
        <w:tc>
          <w:tcPr>
            <w:tcW w:w="635" w:type="pct"/>
            <w:shd w:val="clear" w:color="000000" w:fill="FFFFFF"/>
            <w:vAlign w:val="center"/>
          </w:tcPr>
          <w:p>
            <w:pPr>
              <w:jc w:val="right"/>
              <w:rPr>
                <w:rFonts w:hint="eastAsia" w:asciiTheme="minorEastAsia" w:hAnsiTheme="minorEastAsia"/>
                <w:b/>
                <w:bCs/>
              </w:rPr>
            </w:pPr>
            <w:r>
              <w:rPr>
                <w:rFonts w:asciiTheme="minorEastAsia" w:hAnsiTheme="minorEastAsia"/>
              </w:rPr>
              <w:t>54.00</w:t>
            </w:r>
          </w:p>
        </w:tc>
        <w:tc>
          <w:tcPr>
            <w:tcW w:w="634" w:type="pct"/>
            <w:shd w:val="clear" w:color="000000" w:fill="FFFFFF"/>
            <w:vAlign w:val="center"/>
          </w:tcPr>
          <w:p>
            <w:pPr>
              <w:jc w:val="right"/>
              <w:rPr>
                <w:rFonts w:hint="eastAsia" w:asciiTheme="minorEastAsia" w:hAnsiTheme="minorEastAsia"/>
                <w:b/>
                <w:bCs/>
              </w:rPr>
            </w:pPr>
            <w:r>
              <w:rPr>
                <w:rFonts w:asciiTheme="minorEastAsia" w:hAnsiTheme="minorEastAsia"/>
              </w:rPr>
              <w:t>54.00</w:t>
            </w:r>
          </w:p>
        </w:tc>
        <w:tc>
          <w:tcPr>
            <w:tcW w:w="635" w:type="pct"/>
            <w:shd w:val="clear" w:color="000000" w:fill="FFFFFF"/>
            <w:vAlign w:val="center"/>
          </w:tcPr>
          <w:p>
            <w:pPr>
              <w:jc w:val="right"/>
              <w:rPr>
                <w:rFonts w:hint="eastAsia" w:asciiTheme="minorEastAsia" w:hAnsiTheme="minorEastAsia"/>
                <w:b/>
                <w:bCs/>
              </w:rPr>
            </w:pPr>
            <w:r>
              <w:rPr>
                <w:rFonts w:asciiTheme="minorEastAsia" w:hAnsiTheme="minorEastAsia"/>
              </w:rPr>
              <w:t>54.00</w:t>
            </w:r>
          </w:p>
        </w:tc>
        <w:tc>
          <w:tcPr>
            <w:tcW w:w="677" w:type="pct"/>
            <w:shd w:val="clear" w:color="000000" w:fill="FFFFFF"/>
            <w:vAlign w:val="center"/>
          </w:tcPr>
          <w:p>
            <w:pPr>
              <w:jc w:val="right"/>
              <w:rPr>
                <w:rFonts w:hint="eastAsia" w:asciiTheme="minorEastAsia" w:hAnsiTheme="minorEastAsia"/>
                <w:b/>
                <w:bCs/>
              </w:rPr>
            </w:pPr>
            <w:r>
              <w:rPr>
                <w:rFonts w:asciiTheme="minorEastAsia" w:hAnsiTheme="minorEastAsia"/>
                <w:b/>
                <w:bCs/>
              </w:rPr>
              <w:t>540.00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85" w:type="pct"/>
            <w:shd w:val="clear" w:color="000000" w:fill="FFFFFF"/>
          </w:tcPr>
          <w:p>
            <w:pPr>
              <w:rPr>
                <w:rFonts w:hint="eastAsia" w:cs="等线 Light" w:asciiTheme="minorEastAsia" w:hAnsiTheme="minorEastAsia"/>
                <w:b/>
                <w:bCs/>
                <w:color w:val="000000"/>
                <w:szCs w:val="20"/>
                <w:lang w:eastAsia="zh-TW"/>
              </w:rPr>
            </w:pPr>
            <w:r>
              <w:rPr>
                <w:rFonts w:hint="eastAsia" w:asciiTheme="minorEastAsia" w:hAnsiTheme="minorEastAsia"/>
                <w:b/>
                <w:bCs/>
              </w:rPr>
              <w:t>收入合计</w:t>
            </w:r>
          </w:p>
        </w:tc>
        <w:tc>
          <w:tcPr>
            <w:tcW w:w="634" w:type="pct"/>
            <w:shd w:val="clear" w:color="000000" w:fill="FFFFFF"/>
            <w:vAlign w:val="center"/>
          </w:tcPr>
          <w:p>
            <w:pPr>
              <w:jc w:val="right"/>
              <w:rPr>
                <w:rFonts w:hint="eastAsia" w:asciiTheme="minorEastAsia" w:hAnsiTheme="minorEastAsia"/>
                <w:b/>
                <w:bCs/>
              </w:rPr>
            </w:pPr>
            <w:r>
              <w:rPr>
                <w:rFonts w:asciiTheme="minorEastAsia" w:hAnsiTheme="minorEastAsia"/>
                <w:b/>
                <w:bCs/>
              </w:rPr>
              <w:t>199.80</w:t>
            </w:r>
          </w:p>
        </w:tc>
        <w:tc>
          <w:tcPr>
            <w:tcW w:w="635" w:type="pct"/>
            <w:shd w:val="clear" w:color="000000" w:fill="FFFFFF"/>
            <w:vAlign w:val="center"/>
          </w:tcPr>
          <w:p>
            <w:pPr>
              <w:jc w:val="right"/>
              <w:rPr>
                <w:rFonts w:hint="eastAsia" w:asciiTheme="minorEastAsia" w:hAnsiTheme="minorEastAsia"/>
                <w:b/>
                <w:bCs/>
              </w:rPr>
            </w:pPr>
            <w:r>
              <w:rPr>
                <w:rFonts w:asciiTheme="minorEastAsia" w:hAnsiTheme="minorEastAsia"/>
                <w:b/>
                <w:bCs/>
              </w:rPr>
              <w:t>199.80</w:t>
            </w:r>
          </w:p>
        </w:tc>
        <w:tc>
          <w:tcPr>
            <w:tcW w:w="634" w:type="pct"/>
            <w:shd w:val="clear" w:color="000000" w:fill="FFFFFF"/>
            <w:vAlign w:val="center"/>
          </w:tcPr>
          <w:p>
            <w:pPr>
              <w:jc w:val="right"/>
              <w:rPr>
                <w:rFonts w:hint="eastAsia" w:asciiTheme="minorEastAsia" w:hAnsiTheme="minorEastAsia"/>
                <w:b/>
                <w:bCs/>
              </w:rPr>
            </w:pPr>
            <w:r>
              <w:rPr>
                <w:rFonts w:asciiTheme="minorEastAsia" w:hAnsiTheme="minorEastAsia"/>
                <w:b/>
                <w:bCs/>
              </w:rPr>
              <w:t>199.80</w:t>
            </w:r>
          </w:p>
        </w:tc>
        <w:tc>
          <w:tcPr>
            <w:tcW w:w="635" w:type="pct"/>
            <w:shd w:val="clear" w:color="000000" w:fill="FFFFFF"/>
            <w:vAlign w:val="center"/>
          </w:tcPr>
          <w:p>
            <w:pPr>
              <w:jc w:val="right"/>
              <w:rPr>
                <w:rFonts w:hint="eastAsia" w:asciiTheme="minorEastAsia" w:hAnsiTheme="minorEastAsia"/>
                <w:b/>
                <w:bCs/>
              </w:rPr>
            </w:pPr>
            <w:r>
              <w:rPr>
                <w:rFonts w:asciiTheme="minorEastAsia" w:hAnsiTheme="minorEastAsia"/>
                <w:b/>
                <w:bCs/>
              </w:rPr>
              <w:t>199.80</w:t>
            </w:r>
          </w:p>
        </w:tc>
        <w:tc>
          <w:tcPr>
            <w:tcW w:w="677" w:type="pct"/>
            <w:shd w:val="clear" w:color="000000" w:fill="FFFFFF"/>
            <w:vAlign w:val="center"/>
          </w:tcPr>
          <w:p>
            <w:pPr>
              <w:jc w:val="right"/>
              <w:rPr>
                <w:rFonts w:hint="eastAsia" w:asciiTheme="minorEastAsia" w:hAnsiTheme="minorEastAsia"/>
                <w:b/>
                <w:bCs/>
              </w:rPr>
            </w:pPr>
            <w:r>
              <w:rPr>
                <w:rFonts w:asciiTheme="minorEastAsia" w:hAnsiTheme="minorEastAsia"/>
                <w:b/>
                <w:bCs/>
              </w:rPr>
              <w:t>2,160.00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85" w:type="pct"/>
            <w:shd w:val="clear" w:color="000000" w:fill="FFFFFF"/>
          </w:tcPr>
          <w:p>
            <w:pPr>
              <w:rPr>
                <w:rFonts w:hint="eastAsia" w:cs="等线 Light" w:asciiTheme="minorEastAsia" w:hAnsiTheme="minorEastAsia"/>
                <w:b/>
                <w:color w:val="000000"/>
                <w:szCs w:val="20"/>
                <w:lang w:eastAsia="zh-TW"/>
              </w:rPr>
            </w:pPr>
            <w:r>
              <w:rPr>
                <w:rFonts w:hint="eastAsia" w:asciiTheme="minorEastAsia" w:hAnsiTheme="minorEastAsia"/>
              </w:rPr>
              <w:t>土地出让成本</w:t>
            </w:r>
          </w:p>
        </w:tc>
        <w:tc>
          <w:tcPr>
            <w:tcW w:w="634" w:type="pct"/>
            <w:shd w:val="clear" w:color="000000" w:fill="FFFFFF"/>
            <w:vAlign w:val="center"/>
          </w:tcPr>
          <w:p>
            <w:pPr>
              <w:jc w:val="right"/>
              <w:rPr>
                <w:rFonts w:hint="eastAsia" w:asciiTheme="minorEastAsia" w:hAnsiTheme="minorEastAsia"/>
                <w:b/>
                <w:bCs/>
              </w:rPr>
            </w:pPr>
            <w:r>
              <w:rPr>
                <w:rFonts w:asciiTheme="minorEastAsia" w:hAnsiTheme="minorEastAsia"/>
              </w:rPr>
              <w:t>36.45</w:t>
            </w:r>
          </w:p>
        </w:tc>
        <w:tc>
          <w:tcPr>
            <w:tcW w:w="635" w:type="pct"/>
            <w:shd w:val="clear" w:color="000000" w:fill="FFFFFF"/>
            <w:vAlign w:val="center"/>
          </w:tcPr>
          <w:p>
            <w:pPr>
              <w:jc w:val="right"/>
              <w:rPr>
                <w:rFonts w:hint="eastAsia" w:asciiTheme="minorEastAsia" w:hAnsiTheme="minorEastAsia"/>
                <w:b/>
                <w:bCs/>
              </w:rPr>
            </w:pPr>
            <w:r>
              <w:rPr>
                <w:rFonts w:asciiTheme="minorEastAsia" w:hAnsiTheme="minorEastAsia"/>
              </w:rPr>
              <w:t>36.45</w:t>
            </w:r>
          </w:p>
        </w:tc>
        <w:tc>
          <w:tcPr>
            <w:tcW w:w="634" w:type="pct"/>
            <w:shd w:val="clear" w:color="000000" w:fill="FFFFFF"/>
            <w:vAlign w:val="center"/>
          </w:tcPr>
          <w:p>
            <w:pPr>
              <w:jc w:val="right"/>
              <w:rPr>
                <w:rFonts w:hint="eastAsia" w:asciiTheme="minorEastAsia" w:hAnsiTheme="minorEastAsia"/>
                <w:b/>
                <w:bCs/>
              </w:rPr>
            </w:pPr>
            <w:r>
              <w:rPr>
                <w:rFonts w:asciiTheme="minorEastAsia" w:hAnsiTheme="minorEastAsia"/>
              </w:rPr>
              <w:t>36.45</w:t>
            </w:r>
          </w:p>
        </w:tc>
        <w:tc>
          <w:tcPr>
            <w:tcW w:w="635" w:type="pct"/>
            <w:shd w:val="clear" w:color="000000" w:fill="FFFFFF"/>
            <w:vAlign w:val="center"/>
          </w:tcPr>
          <w:p>
            <w:pPr>
              <w:jc w:val="right"/>
              <w:rPr>
                <w:rFonts w:hint="eastAsia" w:asciiTheme="minorEastAsia" w:hAnsiTheme="minorEastAsia"/>
                <w:b/>
                <w:bCs/>
              </w:rPr>
            </w:pPr>
            <w:r>
              <w:rPr>
                <w:rFonts w:asciiTheme="minorEastAsia" w:hAnsiTheme="minorEastAsia"/>
              </w:rPr>
              <w:t>36.45</w:t>
            </w:r>
          </w:p>
        </w:tc>
        <w:tc>
          <w:tcPr>
            <w:tcW w:w="677" w:type="pct"/>
            <w:shd w:val="clear" w:color="000000" w:fill="FFFFFF"/>
            <w:vAlign w:val="center"/>
          </w:tcPr>
          <w:p>
            <w:pPr>
              <w:jc w:val="right"/>
              <w:rPr>
                <w:rFonts w:hint="eastAsia" w:asciiTheme="minorEastAsia" w:hAnsiTheme="minorEastAsia"/>
                <w:b/>
                <w:bCs/>
              </w:rPr>
            </w:pPr>
            <w:r>
              <w:rPr>
                <w:rFonts w:asciiTheme="minorEastAsia" w:hAnsiTheme="minorEastAsia"/>
                <w:b/>
                <w:bCs/>
              </w:rPr>
              <w:t>405.00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85" w:type="pct"/>
            <w:shd w:val="clear" w:color="000000" w:fill="FFFFFF"/>
          </w:tcPr>
          <w:p>
            <w:pPr>
              <w:rPr>
                <w:rFonts w:hint="eastAsia" w:cs="等线 Light" w:asciiTheme="minorEastAsia" w:hAnsiTheme="minorEastAsia"/>
                <w:b/>
                <w:color w:val="000000"/>
                <w:szCs w:val="20"/>
              </w:rPr>
            </w:pPr>
            <w:r>
              <w:rPr>
                <w:rFonts w:hint="eastAsia" w:asciiTheme="minorEastAsia" w:hAnsiTheme="minorEastAsia"/>
              </w:rPr>
              <w:t>运营成本</w:t>
            </w:r>
          </w:p>
        </w:tc>
        <w:tc>
          <w:tcPr>
            <w:tcW w:w="634" w:type="pct"/>
            <w:shd w:val="clear" w:color="000000" w:fill="FFFFFF"/>
            <w:vAlign w:val="center"/>
          </w:tcPr>
          <w:p>
            <w:pPr>
              <w:jc w:val="right"/>
              <w:rPr>
                <w:rFonts w:hint="eastAsia" w:cs="等线 Light" w:asciiTheme="minorEastAsia" w:hAnsiTheme="minorEastAsia"/>
                <w:b/>
                <w:bCs/>
                <w:szCs w:val="20"/>
              </w:rPr>
            </w:pPr>
            <w:r>
              <w:rPr>
                <w:rFonts w:asciiTheme="minorEastAsia" w:hAnsiTheme="minorEastAsia"/>
              </w:rPr>
              <w:t>10.80</w:t>
            </w:r>
          </w:p>
        </w:tc>
        <w:tc>
          <w:tcPr>
            <w:tcW w:w="635" w:type="pct"/>
            <w:shd w:val="clear" w:color="000000" w:fill="FFFFFF"/>
            <w:vAlign w:val="center"/>
          </w:tcPr>
          <w:p>
            <w:pPr>
              <w:jc w:val="right"/>
              <w:rPr>
                <w:rFonts w:hint="eastAsia" w:cs="等线 Light" w:asciiTheme="minorEastAsia" w:hAnsiTheme="minorEastAsia"/>
                <w:b/>
                <w:bCs/>
                <w:szCs w:val="20"/>
              </w:rPr>
            </w:pPr>
            <w:r>
              <w:rPr>
                <w:rFonts w:asciiTheme="minorEastAsia" w:hAnsiTheme="minorEastAsia"/>
              </w:rPr>
              <w:t>10.80</w:t>
            </w:r>
          </w:p>
        </w:tc>
        <w:tc>
          <w:tcPr>
            <w:tcW w:w="634" w:type="pct"/>
            <w:shd w:val="clear" w:color="000000" w:fill="FFFFFF"/>
            <w:vAlign w:val="center"/>
          </w:tcPr>
          <w:p>
            <w:pPr>
              <w:jc w:val="right"/>
              <w:rPr>
                <w:rFonts w:hint="eastAsia" w:asciiTheme="minorEastAsia" w:hAnsiTheme="minorEastAsia"/>
                <w:b/>
                <w:bCs/>
                <w:szCs w:val="20"/>
              </w:rPr>
            </w:pPr>
            <w:r>
              <w:rPr>
                <w:rFonts w:asciiTheme="minorEastAsia" w:hAnsiTheme="minorEastAsia"/>
              </w:rPr>
              <w:t>10.80</w:t>
            </w:r>
          </w:p>
        </w:tc>
        <w:tc>
          <w:tcPr>
            <w:tcW w:w="635" w:type="pct"/>
            <w:shd w:val="clear" w:color="000000" w:fill="FFFFFF"/>
            <w:vAlign w:val="center"/>
          </w:tcPr>
          <w:p>
            <w:pPr>
              <w:jc w:val="right"/>
              <w:rPr>
                <w:rFonts w:hint="eastAsia" w:asciiTheme="minorEastAsia" w:hAnsiTheme="minorEastAsia"/>
                <w:b/>
                <w:bCs/>
                <w:color w:val="000000"/>
                <w:szCs w:val="20"/>
              </w:rPr>
            </w:pPr>
            <w:r>
              <w:rPr>
                <w:rFonts w:asciiTheme="minorEastAsia" w:hAnsiTheme="minorEastAsia"/>
              </w:rPr>
              <w:t>10.80</w:t>
            </w:r>
          </w:p>
        </w:tc>
        <w:tc>
          <w:tcPr>
            <w:tcW w:w="677" w:type="pct"/>
            <w:shd w:val="clear" w:color="000000" w:fill="FFFFFF"/>
            <w:vAlign w:val="center"/>
          </w:tcPr>
          <w:p>
            <w:pPr>
              <w:jc w:val="right"/>
              <w:rPr>
                <w:rFonts w:hint="eastAsia" w:asciiTheme="minorEastAsia" w:hAnsiTheme="minorEastAsia"/>
                <w:b/>
                <w:bCs/>
                <w:szCs w:val="20"/>
              </w:rPr>
            </w:pPr>
            <w:r>
              <w:rPr>
                <w:rFonts w:asciiTheme="minorEastAsia" w:hAnsiTheme="minorEastAsia"/>
                <w:b/>
                <w:bCs/>
              </w:rPr>
              <w:t>108.00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85" w:type="pct"/>
            <w:shd w:val="clear" w:color="000000" w:fill="FFFFFF"/>
          </w:tcPr>
          <w:p>
            <w:pPr>
              <w:rPr>
                <w:rFonts w:hint="eastAsia" w:cs="等线 Light" w:asciiTheme="minorEastAsia" w:hAnsiTheme="minorEastAsia"/>
                <w:color w:val="000000"/>
                <w:szCs w:val="20"/>
              </w:rPr>
            </w:pPr>
            <w:r>
              <w:rPr>
                <w:rFonts w:hint="eastAsia" w:asciiTheme="minorEastAsia" w:hAnsiTheme="minorEastAsia"/>
              </w:rPr>
              <w:t>相关税费</w:t>
            </w:r>
          </w:p>
        </w:tc>
        <w:tc>
          <w:tcPr>
            <w:tcW w:w="634" w:type="pct"/>
            <w:shd w:val="clear" w:color="000000" w:fill="FFFFFF"/>
            <w:vAlign w:val="center"/>
          </w:tcPr>
          <w:p>
            <w:pPr>
              <w:jc w:val="right"/>
              <w:rPr>
                <w:rFonts w:hint="eastAsia" w:cs="等线 Light" w:asciiTheme="minorEastAsia" w:hAnsiTheme="minorEastAsia"/>
                <w:szCs w:val="20"/>
              </w:rPr>
            </w:pPr>
            <w:r>
              <w:rPr>
                <w:rFonts w:asciiTheme="minorEastAsia" w:hAnsiTheme="minorEastAsia"/>
              </w:rPr>
              <w:t>4.31</w:t>
            </w:r>
          </w:p>
        </w:tc>
        <w:tc>
          <w:tcPr>
            <w:tcW w:w="635" w:type="pct"/>
            <w:shd w:val="clear" w:color="000000" w:fill="FFFFFF"/>
            <w:vAlign w:val="center"/>
          </w:tcPr>
          <w:p>
            <w:pPr>
              <w:jc w:val="right"/>
              <w:rPr>
                <w:rFonts w:hint="eastAsia" w:cs="等线 Light" w:asciiTheme="minorEastAsia" w:hAnsiTheme="minorEastAsia"/>
                <w:szCs w:val="20"/>
              </w:rPr>
            </w:pPr>
            <w:r>
              <w:rPr>
                <w:rFonts w:asciiTheme="minorEastAsia" w:hAnsiTheme="minorEastAsia"/>
              </w:rPr>
              <w:t>4.31</w:t>
            </w:r>
          </w:p>
        </w:tc>
        <w:tc>
          <w:tcPr>
            <w:tcW w:w="634" w:type="pct"/>
            <w:shd w:val="clear" w:color="000000" w:fill="FFFFFF"/>
            <w:vAlign w:val="center"/>
          </w:tcPr>
          <w:p>
            <w:pPr>
              <w:jc w:val="right"/>
              <w:rPr>
                <w:rFonts w:hint="eastAsia" w:asciiTheme="minorEastAsia" w:hAnsiTheme="minorEastAsia"/>
                <w:szCs w:val="20"/>
              </w:rPr>
            </w:pPr>
            <w:r>
              <w:rPr>
                <w:rFonts w:asciiTheme="minorEastAsia" w:hAnsiTheme="minorEastAsia"/>
              </w:rPr>
              <w:t>4.31</w:t>
            </w:r>
          </w:p>
        </w:tc>
        <w:tc>
          <w:tcPr>
            <w:tcW w:w="635" w:type="pct"/>
            <w:shd w:val="clear" w:color="000000" w:fill="FFFFFF"/>
            <w:vAlign w:val="center"/>
          </w:tcPr>
          <w:p>
            <w:pPr>
              <w:jc w:val="right"/>
              <w:rPr>
                <w:rFonts w:hint="eastAsia" w:asciiTheme="minorEastAsia" w:hAnsiTheme="minorEastAsia"/>
                <w:b/>
                <w:bCs/>
                <w:color w:val="000000"/>
                <w:szCs w:val="20"/>
              </w:rPr>
            </w:pPr>
            <w:r>
              <w:rPr>
                <w:rFonts w:asciiTheme="minorEastAsia" w:hAnsiTheme="minorEastAsia"/>
              </w:rPr>
              <w:t>4.31</w:t>
            </w:r>
          </w:p>
        </w:tc>
        <w:tc>
          <w:tcPr>
            <w:tcW w:w="677" w:type="pct"/>
            <w:shd w:val="clear" w:color="000000" w:fill="FFFFFF"/>
            <w:vAlign w:val="center"/>
          </w:tcPr>
          <w:p>
            <w:pPr>
              <w:jc w:val="right"/>
              <w:rPr>
                <w:rFonts w:hint="eastAsia" w:asciiTheme="minorEastAsia" w:hAnsiTheme="minorEastAsia"/>
                <w:b/>
                <w:bCs/>
                <w:szCs w:val="20"/>
              </w:rPr>
            </w:pPr>
            <w:r>
              <w:rPr>
                <w:rFonts w:asciiTheme="minorEastAsia" w:hAnsiTheme="minorEastAsia"/>
                <w:b/>
                <w:bCs/>
              </w:rPr>
              <w:t>43.10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85" w:type="pct"/>
            <w:shd w:val="clear" w:color="000000" w:fill="FFFFFF"/>
          </w:tcPr>
          <w:p>
            <w:pPr>
              <w:rPr>
                <w:rFonts w:hint="eastAsia" w:cs="等线 Light" w:asciiTheme="minorEastAsia" w:hAnsiTheme="minorEastAsia"/>
                <w:b/>
                <w:bCs/>
                <w:color w:val="000000"/>
                <w:szCs w:val="20"/>
              </w:rPr>
            </w:pPr>
            <w:r>
              <w:rPr>
                <w:rFonts w:hint="eastAsia" w:asciiTheme="minorEastAsia" w:hAnsiTheme="minorEastAsia"/>
                <w:b/>
                <w:bCs/>
              </w:rPr>
              <w:t>成本合计</w:t>
            </w:r>
          </w:p>
        </w:tc>
        <w:tc>
          <w:tcPr>
            <w:tcW w:w="634" w:type="pct"/>
            <w:shd w:val="clear" w:color="000000" w:fill="FFFFFF"/>
            <w:vAlign w:val="center"/>
          </w:tcPr>
          <w:p>
            <w:pPr>
              <w:jc w:val="right"/>
              <w:rPr>
                <w:rFonts w:hint="eastAsia" w:cs="等线 Light" w:asciiTheme="minorEastAsia" w:hAnsiTheme="minorEastAsia"/>
                <w:b/>
                <w:bCs/>
                <w:szCs w:val="20"/>
              </w:rPr>
            </w:pPr>
            <w:r>
              <w:rPr>
                <w:rFonts w:asciiTheme="minorEastAsia" w:hAnsiTheme="minorEastAsia"/>
                <w:b/>
                <w:bCs/>
              </w:rPr>
              <w:t>51.56</w:t>
            </w:r>
          </w:p>
        </w:tc>
        <w:tc>
          <w:tcPr>
            <w:tcW w:w="635" w:type="pct"/>
            <w:shd w:val="clear" w:color="000000" w:fill="FFFFFF"/>
            <w:vAlign w:val="center"/>
          </w:tcPr>
          <w:p>
            <w:pPr>
              <w:jc w:val="right"/>
              <w:rPr>
                <w:rFonts w:hint="eastAsia" w:cs="等线 Light" w:asciiTheme="minorEastAsia" w:hAnsiTheme="minorEastAsia"/>
                <w:b/>
                <w:bCs/>
                <w:szCs w:val="20"/>
              </w:rPr>
            </w:pPr>
            <w:r>
              <w:rPr>
                <w:rFonts w:asciiTheme="minorEastAsia" w:hAnsiTheme="minorEastAsia"/>
                <w:b/>
                <w:bCs/>
              </w:rPr>
              <w:t>51.56</w:t>
            </w:r>
          </w:p>
        </w:tc>
        <w:tc>
          <w:tcPr>
            <w:tcW w:w="634" w:type="pct"/>
            <w:shd w:val="clear" w:color="000000" w:fill="FFFFFF"/>
            <w:vAlign w:val="center"/>
          </w:tcPr>
          <w:p>
            <w:pPr>
              <w:jc w:val="right"/>
              <w:rPr>
                <w:rFonts w:hint="eastAsia" w:asciiTheme="minorEastAsia" w:hAnsiTheme="minorEastAsia"/>
                <w:b/>
                <w:bCs/>
                <w:szCs w:val="20"/>
              </w:rPr>
            </w:pPr>
            <w:r>
              <w:rPr>
                <w:rFonts w:asciiTheme="minorEastAsia" w:hAnsiTheme="minorEastAsia"/>
                <w:b/>
                <w:bCs/>
              </w:rPr>
              <w:t>51.56</w:t>
            </w:r>
          </w:p>
        </w:tc>
        <w:tc>
          <w:tcPr>
            <w:tcW w:w="635" w:type="pct"/>
            <w:shd w:val="clear" w:color="000000" w:fill="FFFFFF"/>
            <w:vAlign w:val="center"/>
          </w:tcPr>
          <w:p>
            <w:pPr>
              <w:jc w:val="right"/>
              <w:rPr>
                <w:rFonts w:hint="eastAsia" w:asciiTheme="minorEastAsia" w:hAnsiTheme="minorEastAsia"/>
                <w:b/>
                <w:bCs/>
                <w:color w:val="000000"/>
                <w:szCs w:val="20"/>
              </w:rPr>
            </w:pPr>
            <w:r>
              <w:rPr>
                <w:rFonts w:asciiTheme="minorEastAsia" w:hAnsiTheme="minorEastAsia"/>
                <w:b/>
                <w:bCs/>
              </w:rPr>
              <w:t>51.56</w:t>
            </w:r>
          </w:p>
        </w:tc>
        <w:tc>
          <w:tcPr>
            <w:tcW w:w="677" w:type="pct"/>
            <w:shd w:val="clear" w:color="000000" w:fill="FFFFFF"/>
            <w:vAlign w:val="center"/>
          </w:tcPr>
          <w:p>
            <w:pPr>
              <w:jc w:val="right"/>
              <w:rPr>
                <w:rFonts w:hint="eastAsia" w:asciiTheme="minorEastAsia" w:hAnsiTheme="minorEastAsia"/>
                <w:b/>
                <w:bCs/>
                <w:szCs w:val="20"/>
              </w:rPr>
            </w:pPr>
            <w:r>
              <w:rPr>
                <w:rFonts w:asciiTheme="minorEastAsia" w:hAnsiTheme="minorEastAsia"/>
                <w:b/>
                <w:bCs/>
              </w:rPr>
              <w:t>556.10</w:t>
            </w:r>
          </w:p>
        </w:tc>
      </w:tr>
    </w:tbl>
    <w:p>
      <w:pPr>
        <w:ind w:firstLine="360" w:firstLineChars="200"/>
        <w:jc w:val="right"/>
        <w:rPr>
          <w:rFonts w:hint="eastAsia" w:ascii="宋体" w:hAnsi="宋体" w:eastAsia="宋体" w:cs="宋体"/>
          <w:sz w:val="18"/>
          <w:szCs w:val="18"/>
        </w:rPr>
      </w:pPr>
    </w:p>
    <w:p>
      <w:pPr>
        <w:spacing w:before="120" w:after="120" w:line="360" w:lineRule="auto"/>
        <w:outlineLvl w:val="1"/>
        <w:rPr>
          <w:rFonts w:hint="eastAsia" w:ascii="宋体" w:hAnsi="宋体" w:eastAsia="宋体" w:cs="宋体"/>
          <w:b/>
          <w:color w:val="000000"/>
          <w:sz w:val="24"/>
          <w:szCs w:val="24"/>
        </w:rPr>
      </w:pPr>
      <w:bookmarkStart w:id="31" w:name="_Toc200555442"/>
      <w:r>
        <w:rPr>
          <w:rFonts w:hint="eastAsia" w:ascii="宋体" w:hAnsi="宋体" w:eastAsia="宋体" w:cs="宋体"/>
          <w:b/>
          <w:color w:val="000000"/>
          <w:sz w:val="24"/>
          <w:szCs w:val="24"/>
        </w:rPr>
        <w:t>（三）小结</w:t>
      </w:r>
      <w:bookmarkEnd w:id="26"/>
      <w:bookmarkEnd w:id="27"/>
      <w:bookmarkEnd w:id="31"/>
    </w:p>
    <w:p>
      <w:pPr>
        <w:spacing w:before="120" w:after="12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综上，在本期政府专项债券存续期内，我们未发现本项目资金出现不能满足还本付息要求的情况。</w:t>
      </w:r>
    </w:p>
    <w:p>
      <w:pPr>
        <w:spacing w:before="120" w:after="120" w:line="360" w:lineRule="auto"/>
        <w:outlineLvl w:val="1"/>
        <w:rPr>
          <w:rFonts w:hint="eastAsia" w:ascii="宋体" w:hAnsi="宋体" w:eastAsia="宋体" w:cs="宋体"/>
          <w:b/>
          <w:color w:val="000000"/>
          <w:sz w:val="24"/>
          <w:szCs w:val="24"/>
        </w:rPr>
      </w:pPr>
      <w:bookmarkStart w:id="32" w:name="_Toc114818536"/>
      <w:bookmarkStart w:id="33" w:name="_Toc200555443"/>
      <w:bookmarkStart w:id="34" w:name="_Toc114818426"/>
      <w:r>
        <w:rPr>
          <w:rFonts w:hint="eastAsia" w:ascii="宋体" w:hAnsi="宋体" w:eastAsia="宋体" w:cs="宋体"/>
          <w:b/>
          <w:color w:val="000000"/>
          <w:sz w:val="24"/>
          <w:szCs w:val="24"/>
        </w:rPr>
        <w:t>（四）资金稳定性</w:t>
      </w:r>
      <w:bookmarkEnd w:id="32"/>
      <w:bookmarkEnd w:id="33"/>
      <w:bookmarkEnd w:id="34"/>
    </w:p>
    <w:p>
      <w:pPr>
        <w:spacing w:before="120" w:after="12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海口市江东新区园区配套基础设施配套项目（三期）还本付息以土地出让收入、广告牌出租收入为基础，可稳定覆盖债券存续期间各年利息及到期偿还本金的支出需求。综上，针对本项目在本期专项债券存续期内还本付息资金的测算，我们未注意到可能对本项目资金稳定性产生重大影响的情况。本项目债券存续期内资金留存情况如下图所示。</w:t>
      </w:r>
    </w:p>
    <w:p>
      <w:pPr>
        <w:jc w:val="center"/>
        <w:rPr>
          <w:rFonts w:hint="eastAsia" w:ascii="宋体" w:hAnsi="宋体" w:eastAsia="宋体" w:cs="宋体"/>
          <w:sz w:val="18"/>
          <w:szCs w:val="18"/>
        </w:rPr>
      </w:pPr>
      <w:r>
        <w:rPr>
          <w:rFonts w:ascii="宋体" w:hAnsi="宋体" w:eastAsia="宋体"/>
          <w:b/>
          <w:sz w:val="24"/>
          <w:szCs w:val="24"/>
        </w:rPr>
        <w:drawing>
          <wp:inline distT="0" distB="0" distL="0" distR="0">
            <wp:extent cx="4640580" cy="2403475"/>
            <wp:effectExtent l="0" t="0" r="7620" b="15875"/>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ind w:firstLine="482" w:firstLineChars="200"/>
        <w:jc w:val="center"/>
        <w:rPr>
          <w:rFonts w:hint="eastAsia" w:ascii="宋体" w:hAnsi="宋体" w:eastAsia="宋体" w:cs="宋体"/>
          <w:b/>
          <w:sz w:val="24"/>
          <w:szCs w:val="24"/>
        </w:rPr>
      </w:pPr>
      <w:r>
        <w:rPr>
          <w:rFonts w:hint="eastAsia" w:ascii="宋体" w:hAnsi="宋体" w:eastAsia="宋体" w:cs="宋体"/>
          <w:b/>
          <w:sz w:val="24"/>
          <w:szCs w:val="24"/>
        </w:rPr>
        <w:t>图1 债券存续期海口市江东新区园区配套基础设施配套项目（三期）资金留存情况</w:t>
      </w:r>
    </w:p>
    <w:p>
      <w:pPr>
        <w:spacing w:line="360" w:lineRule="auto"/>
        <w:ind w:firstLine="482" w:firstLineChars="200"/>
        <w:outlineLvl w:val="0"/>
        <w:rPr>
          <w:rFonts w:hint="eastAsia" w:ascii="宋体" w:hAnsi="宋体" w:eastAsia="宋体" w:cs="宋体"/>
          <w:b/>
          <w:bCs/>
          <w:sz w:val="24"/>
          <w:szCs w:val="24"/>
        </w:rPr>
      </w:pPr>
      <w:r>
        <w:rPr>
          <w:rFonts w:hint="eastAsia" w:ascii="宋体" w:hAnsi="宋体" w:eastAsia="宋体" w:cs="宋体"/>
          <w:b/>
          <w:bCs/>
          <w:sz w:val="24"/>
          <w:szCs w:val="24"/>
        </w:rPr>
        <w:t>五、压力测试情况</w:t>
      </w:r>
    </w:p>
    <w:bookmarkEnd w:id="14"/>
    <w:p>
      <w:pPr>
        <w:widowControl/>
        <w:spacing w:before="120" w:after="120" w:line="360" w:lineRule="auto"/>
        <w:ind w:firstLine="480" w:firstLineChars="200"/>
        <w:rPr>
          <w:rFonts w:hint="eastAsia" w:ascii="宋体" w:hAnsi="宋体" w:eastAsia="宋体" w:cs="宋体"/>
          <w:color w:val="000000"/>
          <w:kern w:val="0"/>
          <w:sz w:val="24"/>
          <w:szCs w:val="24"/>
        </w:rPr>
      </w:pPr>
      <w:bookmarkStart w:id="35" w:name="_Toc11183"/>
      <w:r>
        <w:rPr>
          <w:rFonts w:hint="eastAsia" w:ascii="宋体" w:hAnsi="宋体" w:eastAsia="宋体" w:cs="宋体"/>
          <w:color w:val="000000"/>
          <w:kern w:val="0"/>
          <w:sz w:val="24"/>
          <w:szCs w:val="24"/>
        </w:rPr>
        <w:t>根据本项目收益与融资自求平衡的压力测试结果，当项目收益影响债券还本付息的因素在±15%范围内变动的情况下，专项债券本息资金覆盖率仍然大于1，还本付息资金具有一定的风险抵抗能力。具体情况详见表10：</w:t>
      </w:r>
    </w:p>
    <w:p>
      <w:pPr>
        <w:widowControl/>
        <w:spacing w:before="120" w:after="120" w:line="360" w:lineRule="auto"/>
        <w:ind w:firstLine="454"/>
        <w:jc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表10 海口市江东新区园区配套基础设施配套项目（三期）压力测试表</w:t>
      </w:r>
    </w:p>
    <w:tbl>
      <w:tblPr>
        <w:tblStyle w:val="1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00"/>
        <w:gridCol w:w="869"/>
        <w:gridCol w:w="869"/>
        <w:gridCol w:w="732"/>
        <w:gridCol w:w="732"/>
        <w:gridCol w:w="732"/>
        <w:gridCol w:w="741"/>
        <w:gridCol w:w="7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jc w:val="center"/>
        </w:trPr>
        <w:tc>
          <w:tcPr>
            <w:tcW w:w="1820" w:type="pct"/>
            <w:shd w:val="clear" w:color="auto" w:fill="D8D8D8" w:themeFill="background1" w:themeFillShade="D9"/>
            <w:noWrap/>
            <w:vAlign w:val="center"/>
          </w:tcPr>
          <w:p>
            <w:pPr>
              <w:autoSpaceDE w:val="0"/>
              <w:autoSpaceDN w:val="0"/>
              <w:spacing w:after="120"/>
              <w:contextualSpacing/>
              <w:jc w:val="center"/>
              <w:rPr>
                <w:rFonts w:hint="eastAsia" w:ascii="宋体" w:hAnsi="宋体" w:eastAsia="宋体" w:cs="仿宋"/>
                <w:b/>
                <w:color w:val="000000" w:themeColor="text1"/>
                <w:sz w:val="22"/>
                <w:szCs w:val="18"/>
                <w14:textFill>
                  <w14:solidFill>
                    <w14:schemeClr w14:val="tx1"/>
                  </w14:solidFill>
                </w14:textFill>
              </w:rPr>
            </w:pPr>
            <w:r>
              <w:rPr>
                <w:rFonts w:hint="eastAsia" w:ascii="宋体" w:hAnsi="宋体" w:eastAsia="宋体" w:cs="仿宋"/>
                <w:b/>
                <w:color w:val="000000" w:themeColor="text1"/>
                <w:sz w:val="22"/>
                <w:szCs w:val="18"/>
                <w14:textFill>
                  <w14:solidFill>
                    <w14:schemeClr w14:val="tx1"/>
                  </w14:solidFill>
                </w14:textFill>
              </w:rPr>
              <w:t>资金覆盖率</w:t>
            </w:r>
            <w:r>
              <w:rPr>
                <w:rFonts w:ascii="宋体" w:hAnsi="宋体" w:eastAsia="宋体" w:cs="仿宋"/>
                <w:b/>
                <w:color w:val="000000" w:themeColor="text1"/>
                <w:sz w:val="22"/>
                <w:szCs w:val="18"/>
                <w14:textFill>
                  <w14:solidFill>
                    <w14:schemeClr w14:val="tx1"/>
                  </w14:solidFill>
                </w14:textFill>
              </w:rPr>
              <w:t>-</w:t>
            </w:r>
            <w:r>
              <w:rPr>
                <w:rFonts w:hint="eastAsia" w:ascii="宋体" w:hAnsi="宋体" w:eastAsia="宋体" w:cs="仿宋"/>
                <w:b/>
                <w:color w:val="000000" w:themeColor="text1"/>
                <w:sz w:val="22"/>
                <w:szCs w:val="18"/>
                <w14:textFill>
                  <w14:solidFill>
                    <w14:schemeClr w14:val="tx1"/>
                  </w14:solidFill>
                </w14:textFill>
              </w:rPr>
              <w:t>压力测试</w:t>
            </w:r>
          </w:p>
          <w:p>
            <w:pPr>
              <w:autoSpaceDE w:val="0"/>
              <w:autoSpaceDN w:val="0"/>
              <w:spacing w:after="120"/>
              <w:contextualSpacing/>
              <w:jc w:val="center"/>
              <w:rPr>
                <w:rFonts w:hint="eastAsia" w:ascii="宋体" w:hAnsi="宋体" w:eastAsia="宋体" w:cs="仿宋"/>
                <w:b/>
                <w:color w:val="000000" w:themeColor="text1"/>
                <w:sz w:val="22"/>
                <w:szCs w:val="18"/>
                <w14:textFill>
                  <w14:solidFill>
                    <w14:schemeClr w14:val="tx1"/>
                  </w14:solidFill>
                </w14:textFill>
              </w:rPr>
            </w:pPr>
            <w:r>
              <w:rPr>
                <w:rFonts w:hint="eastAsia" w:ascii="宋体" w:hAnsi="宋体" w:eastAsia="宋体" w:cs="仿宋"/>
                <w:b/>
                <w:color w:val="000000" w:themeColor="text1"/>
                <w:sz w:val="22"/>
                <w:szCs w:val="18"/>
                <w14:textFill>
                  <w14:solidFill>
                    <w14:schemeClr w14:val="tx1"/>
                  </w14:solidFill>
                </w14:textFill>
              </w:rPr>
              <w:t>（单因素敏感性分析）</w:t>
            </w:r>
          </w:p>
        </w:tc>
        <w:tc>
          <w:tcPr>
            <w:tcW w:w="510" w:type="pct"/>
            <w:shd w:val="clear" w:color="auto" w:fill="D8D8D8" w:themeFill="background1" w:themeFillShade="D9"/>
            <w:noWrap/>
            <w:vAlign w:val="center"/>
          </w:tcPr>
          <w:p>
            <w:pPr>
              <w:autoSpaceDE w:val="0"/>
              <w:autoSpaceDN w:val="0"/>
              <w:spacing w:after="120"/>
              <w:contextualSpacing/>
              <w:jc w:val="center"/>
              <w:rPr>
                <w:rFonts w:hint="eastAsia" w:ascii="宋体" w:hAnsi="宋体" w:eastAsia="宋体" w:cs="仿宋"/>
                <w:b/>
                <w:color w:val="000000" w:themeColor="text1"/>
                <w:sz w:val="22"/>
                <w:szCs w:val="18"/>
                <w14:textFill>
                  <w14:solidFill>
                    <w14:schemeClr w14:val="tx1"/>
                  </w14:solidFill>
                </w14:textFill>
              </w:rPr>
            </w:pPr>
            <w:r>
              <w:rPr>
                <w:rFonts w:ascii="宋体" w:hAnsi="宋体" w:eastAsia="宋体" w:cs="仿宋"/>
                <w:b/>
                <w:color w:val="000000" w:themeColor="text1"/>
                <w:sz w:val="22"/>
                <w:szCs w:val="18"/>
                <w14:textFill>
                  <w14:solidFill>
                    <w14:schemeClr w14:val="tx1"/>
                  </w14:solidFill>
                </w14:textFill>
              </w:rPr>
              <w:t>-15%</w:t>
            </w:r>
          </w:p>
        </w:tc>
        <w:tc>
          <w:tcPr>
            <w:tcW w:w="510" w:type="pct"/>
            <w:shd w:val="clear" w:color="auto" w:fill="D8D8D8" w:themeFill="background1" w:themeFillShade="D9"/>
            <w:noWrap/>
            <w:vAlign w:val="center"/>
          </w:tcPr>
          <w:p>
            <w:pPr>
              <w:autoSpaceDE w:val="0"/>
              <w:autoSpaceDN w:val="0"/>
              <w:spacing w:after="120"/>
              <w:contextualSpacing/>
              <w:jc w:val="center"/>
              <w:rPr>
                <w:rFonts w:hint="eastAsia" w:ascii="宋体" w:hAnsi="宋体" w:eastAsia="宋体" w:cs="仿宋"/>
                <w:b/>
                <w:color w:val="000000" w:themeColor="text1"/>
                <w:sz w:val="22"/>
                <w:szCs w:val="18"/>
                <w14:textFill>
                  <w14:solidFill>
                    <w14:schemeClr w14:val="tx1"/>
                  </w14:solidFill>
                </w14:textFill>
              </w:rPr>
            </w:pPr>
            <w:r>
              <w:rPr>
                <w:rFonts w:ascii="宋体" w:hAnsi="宋体" w:eastAsia="宋体" w:cs="仿宋"/>
                <w:b/>
                <w:color w:val="000000" w:themeColor="text1"/>
                <w:sz w:val="22"/>
                <w:szCs w:val="18"/>
                <w14:textFill>
                  <w14:solidFill>
                    <w14:schemeClr w14:val="tx1"/>
                  </w14:solidFill>
                </w14:textFill>
              </w:rPr>
              <w:t>-10%</w:t>
            </w:r>
          </w:p>
        </w:tc>
        <w:tc>
          <w:tcPr>
            <w:tcW w:w="430" w:type="pct"/>
            <w:shd w:val="clear" w:color="auto" w:fill="D8D8D8" w:themeFill="background1" w:themeFillShade="D9"/>
            <w:noWrap/>
            <w:vAlign w:val="center"/>
          </w:tcPr>
          <w:p>
            <w:pPr>
              <w:autoSpaceDE w:val="0"/>
              <w:autoSpaceDN w:val="0"/>
              <w:spacing w:after="120"/>
              <w:contextualSpacing/>
              <w:jc w:val="center"/>
              <w:rPr>
                <w:rFonts w:hint="eastAsia" w:ascii="宋体" w:hAnsi="宋体" w:eastAsia="宋体" w:cs="仿宋"/>
                <w:b/>
                <w:color w:val="000000" w:themeColor="text1"/>
                <w:sz w:val="22"/>
                <w:szCs w:val="18"/>
                <w14:textFill>
                  <w14:solidFill>
                    <w14:schemeClr w14:val="tx1"/>
                  </w14:solidFill>
                </w14:textFill>
              </w:rPr>
            </w:pPr>
            <w:r>
              <w:rPr>
                <w:rFonts w:ascii="宋体" w:hAnsi="宋体" w:eastAsia="宋体" w:cs="仿宋"/>
                <w:b/>
                <w:color w:val="000000" w:themeColor="text1"/>
                <w:sz w:val="22"/>
                <w:szCs w:val="18"/>
                <w14:textFill>
                  <w14:solidFill>
                    <w14:schemeClr w14:val="tx1"/>
                  </w14:solidFill>
                </w14:textFill>
              </w:rPr>
              <w:t>-5%</w:t>
            </w:r>
          </w:p>
        </w:tc>
        <w:tc>
          <w:tcPr>
            <w:tcW w:w="430" w:type="pct"/>
            <w:shd w:val="clear" w:color="auto" w:fill="D8D8D8" w:themeFill="background1" w:themeFillShade="D9"/>
            <w:noWrap/>
            <w:vAlign w:val="center"/>
          </w:tcPr>
          <w:p>
            <w:pPr>
              <w:autoSpaceDE w:val="0"/>
              <w:autoSpaceDN w:val="0"/>
              <w:spacing w:after="120"/>
              <w:contextualSpacing/>
              <w:jc w:val="center"/>
              <w:rPr>
                <w:rFonts w:hint="eastAsia" w:ascii="宋体" w:hAnsi="宋体" w:eastAsia="宋体" w:cs="仿宋"/>
                <w:b/>
                <w:color w:val="000000" w:themeColor="text1"/>
                <w:sz w:val="22"/>
                <w:szCs w:val="18"/>
                <w14:textFill>
                  <w14:solidFill>
                    <w14:schemeClr w14:val="tx1"/>
                  </w14:solidFill>
                </w14:textFill>
              </w:rPr>
            </w:pPr>
            <w:r>
              <w:rPr>
                <w:rFonts w:ascii="宋体" w:hAnsi="宋体" w:eastAsia="宋体" w:cs="仿宋"/>
                <w:b/>
                <w:color w:val="000000" w:themeColor="text1"/>
                <w:sz w:val="22"/>
                <w:szCs w:val="18"/>
                <w14:textFill>
                  <w14:solidFill>
                    <w14:schemeClr w14:val="tx1"/>
                  </w14:solidFill>
                </w14:textFill>
              </w:rPr>
              <w:t>0%</w:t>
            </w:r>
          </w:p>
        </w:tc>
        <w:tc>
          <w:tcPr>
            <w:tcW w:w="430" w:type="pct"/>
            <w:shd w:val="clear" w:color="auto" w:fill="D8D8D8" w:themeFill="background1" w:themeFillShade="D9"/>
            <w:noWrap/>
            <w:vAlign w:val="center"/>
          </w:tcPr>
          <w:p>
            <w:pPr>
              <w:autoSpaceDE w:val="0"/>
              <w:autoSpaceDN w:val="0"/>
              <w:spacing w:after="120"/>
              <w:contextualSpacing/>
              <w:jc w:val="center"/>
              <w:rPr>
                <w:rFonts w:hint="eastAsia" w:ascii="宋体" w:hAnsi="宋体" w:eastAsia="宋体" w:cs="仿宋"/>
                <w:b/>
                <w:color w:val="000000" w:themeColor="text1"/>
                <w:sz w:val="22"/>
                <w:szCs w:val="18"/>
                <w14:textFill>
                  <w14:solidFill>
                    <w14:schemeClr w14:val="tx1"/>
                  </w14:solidFill>
                </w14:textFill>
              </w:rPr>
            </w:pPr>
            <w:r>
              <w:rPr>
                <w:rFonts w:ascii="宋体" w:hAnsi="宋体" w:eastAsia="宋体" w:cs="仿宋"/>
                <w:b/>
                <w:color w:val="000000" w:themeColor="text1"/>
                <w:sz w:val="22"/>
                <w:szCs w:val="18"/>
                <w14:textFill>
                  <w14:solidFill>
                    <w14:schemeClr w14:val="tx1"/>
                  </w14:solidFill>
                </w14:textFill>
              </w:rPr>
              <w:t>5%</w:t>
            </w:r>
          </w:p>
        </w:tc>
        <w:tc>
          <w:tcPr>
            <w:tcW w:w="435" w:type="pct"/>
            <w:shd w:val="clear" w:color="auto" w:fill="D8D8D8" w:themeFill="background1" w:themeFillShade="D9"/>
            <w:noWrap/>
            <w:vAlign w:val="center"/>
          </w:tcPr>
          <w:p>
            <w:pPr>
              <w:autoSpaceDE w:val="0"/>
              <w:autoSpaceDN w:val="0"/>
              <w:spacing w:after="120"/>
              <w:contextualSpacing/>
              <w:jc w:val="center"/>
              <w:rPr>
                <w:rFonts w:hint="eastAsia" w:ascii="宋体" w:hAnsi="宋体" w:eastAsia="宋体" w:cs="仿宋"/>
                <w:b/>
                <w:color w:val="000000" w:themeColor="text1"/>
                <w:sz w:val="22"/>
                <w:szCs w:val="18"/>
                <w14:textFill>
                  <w14:solidFill>
                    <w14:schemeClr w14:val="tx1"/>
                  </w14:solidFill>
                </w14:textFill>
              </w:rPr>
            </w:pPr>
            <w:r>
              <w:rPr>
                <w:rFonts w:ascii="宋体" w:hAnsi="宋体" w:eastAsia="宋体" w:cs="仿宋"/>
                <w:b/>
                <w:color w:val="000000" w:themeColor="text1"/>
                <w:sz w:val="22"/>
                <w:szCs w:val="18"/>
                <w14:textFill>
                  <w14:solidFill>
                    <w14:schemeClr w14:val="tx1"/>
                  </w14:solidFill>
                </w14:textFill>
              </w:rPr>
              <w:t>10%</w:t>
            </w:r>
          </w:p>
        </w:tc>
        <w:tc>
          <w:tcPr>
            <w:tcW w:w="435" w:type="pct"/>
            <w:shd w:val="clear" w:color="auto" w:fill="D8D8D8" w:themeFill="background1" w:themeFillShade="D9"/>
            <w:noWrap/>
            <w:vAlign w:val="center"/>
          </w:tcPr>
          <w:p>
            <w:pPr>
              <w:autoSpaceDE w:val="0"/>
              <w:autoSpaceDN w:val="0"/>
              <w:spacing w:after="120"/>
              <w:contextualSpacing/>
              <w:jc w:val="center"/>
              <w:rPr>
                <w:rFonts w:hint="eastAsia" w:ascii="宋体" w:hAnsi="宋体" w:eastAsia="宋体" w:cs="仿宋"/>
                <w:b/>
                <w:color w:val="000000" w:themeColor="text1"/>
                <w:sz w:val="22"/>
                <w:szCs w:val="18"/>
                <w14:textFill>
                  <w14:solidFill>
                    <w14:schemeClr w14:val="tx1"/>
                  </w14:solidFill>
                </w14:textFill>
              </w:rPr>
            </w:pPr>
            <w:r>
              <w:rPr>
                <w:rFonts w:ascii="宋体" w:hAnsi="宋体" w:eastAsia="宋体" w:cs="仿宋"/>
                <w:b/>
                <w:color w:val="000000" w:themeColor="text1"/>
                <w:sz w:val="22"/>
                <w:szCs w:val="18"/>
                <w14:textFill>
                  <w14:solidFill>
                    <w14:schemeClr w14:val="tx1"/>
                  </w14:solidFill>
                </w14:textFill>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820" w:type="pct"/>
            <w:shd w:val="clear" w:color="auto" w:fill="auto"/>
            <w:noWrap/>
            <w:vAlign w:val="center"/>
          </w:tcPr>
          <w:p>
            <w:pPr>
              <w:spacing w:line="256" w:lineRule="auto"/>
              <w:rPr>
                <w:rFonts w:hint="eastAsia" w:ascii="宋体" w:hAnsi="宋体" w:eastAsia="宋体"/>
                <w:color w:val="000000"/>
                <w:szCs w:val="20"/>
              </w:rPr>
            </w:pPr>
            <w:r>
              <w:rPr>
                <w:rFonts w:hint="eastAsia" w:ascii="宋体" w:hAnsi="宋体" w:eastAsia="宋体"/>
                <w:b/>
                <w:bCs/>
                <w:color w:val="000000"/>
                <w:szCs w:val="20"/>
              </w:rPr>
              <w:t>收益变动情况敏感性分析</w:t>
            </w:r>
          </w:p>
        </w:tc>
        <w:tc>
          <w:tcPr>
            <w:tcW w:w="510" w:type="pct"/>
            <w:shd w:val="clear" w:color="auto" w:fill="auto"/>
            <w:noWrap/>
            <w:vAlign w:val="center"/>
          </w:tcPr>
          <w:p>
            <w:pPr>
              <w:jc w:val="right"/>
              <w:rPr>
                <w:rFonts w:hint="eastAsia" w:ascii="宋体" w:hAnsi="宋体" w:eastAsia="宋体" w:cs="Arial"/>
                <w:color w:val="000000"/>
                <w:szCs w:val="20"/>
              </w:rPr>
            </w:pPr>
          </w:p>
        </w:tc>
        <w:tc>
          <w:tcPr>
            <w:tcW w:w="510" w:type="pct"/>
            <w:shd w:val="clear" w:color="auto" w:fill="auto"/>
            <w:noWrap/>
            <w:vAlign w:val="center"/>
          </w:tcPr>
          <w:p>
            <w:pPr>
              <w:jc w:val="right"/>
              <w:rPr>
                <w:rFonts w:hint="eastAsia" w:ascii="宋体" w:hAnsi="宋体" w:eastAsia="宋体" w:cs="Arial"/>
                <w:color w:val="000000"/>
                <w:szCs w:val="20"/>
              </w:rPr>
            </w:pPr>
          </w:p>
        </w:tc>
        <w:tc>
          <w:tcPr>
            <w:tcW w:w="430" w:type="pct"/>
            <w:shd w:val="clear" w:color="auto" w:fill="auto"/>
            <w:noWrap/>
            <w:vAlign w:val="center"/>
          </w:tcPr>
          <w:p>
            <w:pPr>
              <w:jc w:val="right"/>
              <w:rPr>
                <w:rFonts w:hint="eastAsia" w:ascii="宋体" w:hAnsi="宋体" w:eastAsia="宋体" w:cs="Arial"/>
                <w:color w:val="000000"/>
                <w:szCs w:val="20"/>
              </w:rPr>
            </w:pPr>
          </w:p>
        </w:tc>
        <w:tc>
          <w:tcPr>
            <w:tcW w:w="430" w:type="pct"/>
            <w:shd w:val="clear" w:color="auto" w:fill="auto"/>
            <w:noWrap/>
            <w:vAlign w:val="center"/>
          </w:tcPr>
          <w:p>
            <w:pPr>
              <w:jc w:val="right"/>
              <w:rPr>
                <w:rFonts w:hint="eastAsia" w:ascii="宋体" w:hAnsi="宋体" w:eastAsia="宋体" w:cs="Arial"/>
                <w:color w:val="000000"/>
                <w:szCs w:val="20"/>
              </w:rPr>
            </w:pPr>
          </w:p>
        </w:tc>
        <w:tc>
          <w:tcPr>
            <w:tcW w:w="430" w:type="pct"/>
            <w:shd w:val="clear" w:color="auto" w:fill="auto"/>
            <w:noWrap/>
            <w:vAlign w:val="center"/>
          </w:tcPr>
          <w:p>
            <w:pPr>
              <w:jc w:val="right"/>
              <w:rPr>
                <w:rFonts w:hint="eastAsia" w:ascii="宋体" w:hAnsi="宋体" w:eastAsia="宋体" w:cs="Arial"/>
                <w:color w:val="000000"/>
                <w:szCs w:val="20"/>
              </w:rPr>
            </w:pPr>
          </w:p>
        </w:tc>
        <w:tc>
          <w:tcPr>
            <w:tcW w:w="435" w:type="pct"/>
            <w:shd w:val="clear" w:color="auto" w:fill="auto"/>
            <w:noWrap/>
            <w:vAlign w:val="center"/>
          </w:tcPr>
          <w:p>
            <w:pPr>
              <w:jc w:val="right"/>
              <w:rPr>
                <w:rFonts w:hint="eastAsia" w:ascii="宋体" w:hAnsi="宋体" w:eastAsia="宋体" w:cs="Arial"/>
                <w:color w:val="000000"/>
                <w:szCs w:val="20"/>
              </w:rPr>
            </w:pPr>
          </w:p>
        </w:tc>
        <w:tc>
          <w:tcPr>
            <w:tcW w:w="435" w:type="pct"/>
            <w:shd w:val="clear" w:color="auto" w:fill="auto"/>
            <w:noWrap/>
            <w:vAlign w:val="center"/>
          </w:tcPr>
          <w:p>
            <w:pPr>
              <w:jc w:val="right"/>
              <w:rPr>
                <w:rFonts w:hint="eastAsia" w:ascii="宋体" w:hAnsi="宋体" w:eastAsia="宋体" w:cs="Arial"/>
                <w:color w:val="00000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2" w:hRule="atLeast"/>
          <w:jc w:val="center"/>
        </w:trPr>
        <w:tc>
          <w:tcPr>
            <w:tcW w:w="1820" w:type="pct"/>
            <w:shd w:val="clear" w:color="auto" w:fill="auto"/>
            <w:noWrap/>
            <w:vAlign w:val="center"/>
          </w:tcPr>
          <w:p>
            <w:pPr>
              <w:spacing w:line="256" w:lineRule="auto"/>
              <w:rPr>
                <w:rFonts w:hint="eastAsia" w:ascii="宋体" w:hAnsi="宋体" w:eastAsia="宋体"/>
                <w:color w:val="000000"/>
                <w:szCs w:val="20"/>
              </w:rPr>
            </w:pPr>
            <w:r>
              <w:rPr>
                <w:rFonts w:hint="eastAsia" w:ascii="宋体" w:hAnsi="宋体" w:eastAsia="宋体"/>
                <w:color w:val="000000"/>
                <w:szCs w:val="20"/>
              </w:rPr>
              <w:t>债券本息覆盖率</w:t>
            </w:r>
            <w:r>
              <w:rPr>
                <w:rFonts w:ascii="宋体" w:hAnsi="宋体" w:eastAsia="宋体" w:cs="微软雅黑"/>
                <w:sz w:val="18"/>
                <w:szCs w:val="18"/>
                <w:vertAlign w:val="superscript"/>
              </w:rPr>
              <w:footnoteReference w:id="2"/>
            </w:r>
          </w:p>
        </w:tc>
        <w:tc>
          <w:tcPr>
            <w:tcW w:w="510" w:type="pct"/>
            <w:shd w:val="clear" w:color="auto" w:fill="auto"/>
            <w:noWrap/>
            <w:vAlign w:val="center"/>
          </w:tcPr>
          <w:p>
            <w:pPr>
              <w:jc w:val="right"/>
              <w:rPr>
                <w:rFonts w:hint="eastAsia" w:cs="Arial" w:asciiTheme="minorEastAsia" w:hAnsiTheme="minorEastAsia"/>
                <w:color w:val="000000"/>
                <w:szCs w:val="20"/>
              </w:rPr>
            </w:pPr>
            <w:r>
              <w:rPr>
                <w:rFonts w:asciiTheme="minorEastAsia" w:hAnsiTheme="minorEastAsia"/>
              </w:rPr>
              <w:t>1.17</w:t>
            </w:r>
          </w:p>
        </w:tc>
        <w:tc>
          <w:tcPr>
            <w:tcW w:w="510" w:type="pct"/>
            <w:shd w:val="clear" w:color="auto" w:fill="auto"/>
            <w:noWrap/>
            <w:vAlign w:val="center"/>
          </w:tcPr>
          <w:p>
            <w:pPr>
              <w:jc w:val="right"/>
              <w:rPr>
                <w:rFonts w:hint="eastAsia" w:cs="Arial" w:asciiTheme="minorEastAsia" w:hAnsiTheme="minorEastAsia"/>
                <w:color w:val="000000"/>
                <w:szCs w:val="20"/>
              </w:rPr>
            </w:pPr>
            <w:r>
              <w:rPr>
                <w:rFonts w:asciiTheme="minorEastAsia" w:hAnsiTheme="minorEastAsia"/>
              </w:rPr>
              <w:t>1.23</w:t>
            </w:r>
          </w:p>
        </w:tc>
        <w:tc>
          <w:tcPr>
            <w:tcW w:w="430" w:type="pct"/>
            <w:shd w:val="clear" w:color="auto" w:fill="auto"/>
            <w:noWrap/>
            <w:vAlign w:val="center"/>
          </w:tcPr>
          <w:p>
            <w:pPr>
              <w:jc w:val="right"/>
              <w:rPr>
                <w:rFonts w:hint="eastAsia" w:cs="Arial" w:asciiTheme="minorEastAsia" w:hAnsiTheme="minorEastAsia"/>
                <w:color w:val="000000"/>
                <w:szCs w:val="20"/>
              </w:rPr>
            </w:pPr>
            <w:r>
              <w:rPr>
                <w:rFonts w:asciiTheme="minorEastAsia" w:hAnsiTheme="minorEastAsia"/>
              </w:rPr>
              <w:t>1.30</w:t>
            </w:r>
          </w:p>
        </w:tc>
        <w:tc>
          <w:tcPr>
            <w:tcW w:w="430" w:type="pct"/>
            <w:shd w:val="clear" w:color="auto" w:fill="auto"/>
            <w:noWrap/>
            <w:vAlign w:val="center"/>
          </w:tcPr>
          <w:p>
            <w:pPr>
              <w:jc w:val="right"/>
              <w:rPr>
                <w:rFonts w:hint="eastAsia" w:cs="Arial" w:asciiTheme="minorEastAsia" w:hAnsiTheme="minorEastAsia"/>
                <w:color w:val="000000"/>
                <w:szCs w:val="20"/>
              </w:rPr>
            </w:pPr>
            <w:r>
              <w:rPr>
                <w:rFonts w:asciiTheme="minorEastAsia" w:hAnsiTheme="minorEastAsia"/>
              </w:rPr>
              <w:t>1.37</w:t>
            </w:r>
          </w:p>
        </w:tc>
        <w:tc>
          <w:tcPr>
            <w:tcW w:w="430" w:type="pct"/>
            <w:shd w:val="clear" w:color="auto" w:fill="auto"/>
            <w:noWrap/>
            <w:vAlign w:val="center"/>
          </w:tcPr>
          <w:p>
            <w:pPr>
              <w:jc w:val="right"/>
              <w:rPr>
                <w:rFonts w:hint="eastAsia" w:cs="Arial" w:asciiTheme="minorEastAsia" w:hAnsiTheme="minorEastAsia"/>
                <w:color w:val="000000"/>
                <w:szCs w:val="20"/>
              </w:rPr>
            </w:pPr>
            <w:r>
              <w:rPr>
                <w:rFonts w:asciiTheme="minorEastAsia" w:hAnsiTheme="minorEastAsia"/>
              </w:rPr>
              <w:t>1.44</w:t>
            </w:r>
          </w:p>
        </w:tc>
        <w:tc>
          <w:tcPr>
            <w:tcW w:w="435" w:type="pct"/>
            <w:shd w:val="clear" w:color="auto" w:fill="auto"/>
            <w:noWrap/>
            <w:vAlign w:val="center"/>
          </w:tcPr>
          <w:p>
            <w:pPr>
              <w:jc w:val="right"/>
              <w:rPr>
                <w:rFonts w:hint="eastAsia" w:cs="Arial" w:asciiTheme="minorEastAsia" w:hAnsiTheme="minorEastAsia"/>
                <w:color w:val="000000"/>
                <w:szCs w:val="20"/>
              </w:rPr>
            </w:pPr>
            <w:r>
              <w:rPr>
                <w:rFonts w:asciiTheme="minorEastAsia" w:hAnsiTheme="minorEastAsia"/>
              </w:rPr>
              <w:t>1.51</w:t>
            </w:r>
          </w:p>
        </w:tc>
        <w:tc>
          <w:tcPr>
            <w:tcW w:w="435" w:type="pct"/>
            <w:shd w:val="clear" w:color="auto" w:fill="auto"/>
            <w:noWrap/>
            <w:vAlign w:val="center"/>
          </w:tcPr>
          <w:p>
            <w:pPr>
              <w:jc w:val="right"/>
              <w:rPr>
                <w:rFonts w:hint="eastAsia" w:cs="Arial" w:asciiTheme="minorEastAsia" w:hAnsiTheme="minorEastAsia"/>
                <w:color w:val="000000"/>
                <w:szCs w:val="20"/>
              </w:rPr>
            </w:pPr>
            <w:r>
              <w:rPr>
                <w:rFonts w:asciiTheme="minorEastAsia" w:hAnsiTheme="minorEastAsia"/>
              </w:rPr>
              <w:t>1.58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820" w:type="pct"/>
            <w:shd w:val="clear" w:color="auto" w:fill="auto"/>
            <w:noWrap/>
            <w:vAlign w:val="center"/>
          </w:tcPr>
          <w:p>
            <w:pPr>
              <w:spacing w:line="256" w:lineRule="auto"/>
              <w:rPr>
                <w:rFonts w:hint="eastAsia" w:ascii="宋体" w:hAnsi="宋体" w:eastAsia="宋体"/>
                <w:color w:val="000000"/>
                <w:szCs w:val="20"/>
              </w:rPr>
            </w:pPr>
            <w:r>
              <w:rPr>
                <w:rFonts w:ascii="宋体" w:hAnsi="宋体" w:eastAsia="宋体"/>
                <w:color w:val="000000"/>
                <w:szCs w:val="20"/>
              </w:rPr>
              <w:t>债券</w:t>
            </w:r>
            <w:r>
              <w:rPr>
                <w:rFonts w:hint="eastAsia" w:ascii="宋体" w:hAnsi="宋体" w:eastAsia="宋体"/>
                <w:color w:val="000000"/>
                <w:szCs w:val="20"/>
              </w:rPr>
              <w:t>本息覆盖倍数</w:t>
            </w:r>
            <w:r>
              <w:rPr>
                <w:rFonts w:ascii="宋体" w:hAnsi="宋体" w:eastAsia="宋体" w:cs="微软雅黑"/>
                <w:sz w:val="18"/>
                <w:szCs w:val="18"/>
                <w:vertAlign w:val="superscript"/>
              </w:rPr>
              <w:footnoteReference w:id="3"/>
            </w:r>
          </w:p>
        </w:tc>
        <w:tc>
          <w:tcPr>
            <w:tcW w:w="510" w:type="pct"/>
            <w:shd w:val="clear" w:color="auto" w:fill="auto"/>
            <w:noWrap/>
            <w:vAlign w:val="center"/>
          </w:tcPr>
          <w:p>
            <w:pPr>
              <w:jc w:val="right"/>
              <w:rPr>
                <w:rFonts w:hint="eastAsia" w:cs="Arial" w:asciiTheme="minorEastAsia" w:hAnsiTheme="minorEastAsia"/>
                <w:color w:val="000000"/>
                <w:szCs w:val="20"/>
              </w:rPr>
            </w:pPr>
            <w:r>
              <w:rPr>
                <w:rFonts w:asciiTheme="minorEastAsia" w:hAnsiTheme="minorEastAsia"/>
              </w:rPr>
              <w:t>1.16</w:t>
            </w:r>
          </w:p>
        </w:tc>
        <w:tc>
          <w:tcPr>
            <w:tcW w:w="510" w:type="pct"/>
            <w:shd w:val="clear" w:color="auto" w:fill="auto"/>
            <w:noWrap/>
            <w:vAlign w:val="center"/>
          </w:tcPr>
          <w:p>
            <w:pPr>
              <w:jc w:val="right"/>
              <w:rPr>
                <w:rFonts w:hint="eastAsia" w:cs="Arial" w:asciiTheme="minorEastAsia" w:hAnsiTheme="minorEastAsia"/>
                <w:color w:val="000000"/>
                <w:szCs w:val="20"/>
              </w:rPr>
            </w:pPr>
            <w:r>
              <w:rPr>
                <w:rFonts w:asciiTheme="minorEastAsia" w:hAnsiTheme="minorEastAsia"/>
              </w:rPr>
              <w:t>1.23</w:t>
            </w:r>
          </w:p>
        </w:tc>
        <w:tc>
          <w:tcPr>
            <w:tcW w:w="430" w:type="pct"/>
            <w:shd w:val="clear" w:color="auto" w:fill="auto"/>
            <w:noWrap/>
            <w:vAlign w:val="center"/>
          </w:tcPr>
          <w:p>
            <w:pPr>
              <w:jc w:val="right"/>
              <w:rPr>
                <w:rFonts w:hint="eastAsia" w:cs="Arial" w:asciiTheme="minorEastAsia" w:hAnsiTheme="minorEastAsia"/>
                <w:color w:val="000000"/>
                <w:szCs w:val="20"/>
              </w:rPr>
            </w:pPr>
            <w:r>
              <w:rPr>
                <w:rFonts w:asciiTheme="minorEastAsia" w:hAnsiTheme="minorEastAsia"/>
              </w:rPr>
              <w:t>1.30</w:t>
            </w:r>
          </w:p>
        </w:tc>
        <w:tc>
          <w:tcPr>
            <w:tcW w:w="430" w:type="pct"/>
            <w:shd w:val="clear" w:color="auto" w:fill="auto"/>
            <w:noWrap/>
            <w:vAlign w:val="center"/>
          </w:tcPr>
          <w:p>
            <w:pPr>
              <w:jc w:val="right"/>
              <w:rPr>
                <w:rFonts w:hint="eastAsia" w:cs="Arial" w:asciiTheme="minorEastAsia" w:hAnsiTheme="minorEastAsia"/>
                <w:color w:val="000000"/>
                <w:szCs w:val="20"/>
              </w:rPr>
            </w:pPr>
            <w:r>
              <w:rPr>
                <w:rFonts w:asciiTheme="minorEastAsia" w:hAnsiTheme="minorEastAsia"/>
              </w:rPr>
              <w:t>1.36</w:t>
            </w:r>
          </w:p>
        </w:tc>
        <w:tc>
          <w:tcPr>
            <w:tcW w:w="430" w:type="pct"/>
            <w:shd w:val="clear" w:color="auto" w:fill="auto"/>
            <w:noWrap/>
            <w:vAlign w:val="center"/>
          </w:tcPr>
          <w:p>
            <w:pPr>
              <w:jc w:val="right"/>
              <w:rPr>
                <w:rFonts w:hint="eastAsia" w:cs="Arial" w:asciiTheme="minorEastAsia" w:hAnsiTheme="minorEastAsia"/>
                <w:color w:val="000000"/>
                <w:szCs w:val="20"/>
              </w:rPr>
            </w:pPr>
            <w:r>
              <w:rPr>
                <w:rFonts w:asciiTheme="minorEastAsia" w:hAnsiTheme="minorEastAsia"/>
              </w:rPr>
              <w:t>1.43</w:t>
            </w:r>
          </w:p>
        </w:tc>
        <w:tc>
          <w:tcPr>
            <w:tcW w:w="435" w:type="pct"/>
            <w:shd w:val="clear" w:color="auto" w:fill="auto"/>
            <w:noWrap/>
            <w:vAlign w:val="center"/>
          </w:tcPr>
          <w:p>
            <w:pPr>
              <w:jc w:val="right"/>
              <w:rPr>
                <w:rFonts w:hint="eastAsia" w:cs="Arial" w:asciiTheme="minorEastAsia" w:hAnsiTheme="minorEastAsia"/>
                <w:color w:val="000000"/>
                <w:szCs w:val="20"/>
              </w:rPr>
            </w:pPr>
            <w:r>
              <w:rPr>
                <w:rFonts w:asciiTheme="minorEastAsia" w:hAnsiTheme="minorEastAsia"/>
              </w:rPr>
              <w:t>1.50</w:t>
            </w:r>
          </w:p>
        </w:tc>
        <w:tc>
          <w:tcPr>
            <w:tcW w:w="435" w:type="pct"/>
            <w:shd w:val="clear" w:color="auto" w:fill="auto"/>
            <w:noWrap/>
            <w:vAlign w:val="center"/>
          </w:tcPr>
          <w:p>
            <w:pPr>
              <w:jc w:val="right"/>
              <w:rPr>
                <w:rFonts w:hint="eastAsia" w:cs="Arial" w:asciiTheme="minorEastAsia" w:hAnsiTheme="minorEastAsia"/>
                <w:color w:val="000000"/>
                <w:szCs w:val="20"/>
              </w:rPr>
            </w:pPr>
            <w:r>
              <w:rPr>
                <w:rFonts w:asciiTheme="minorEastAsia" w:hAnsiTheme="minorEastAsia"/>
              </w:rPr>
              <w:t>1.57</w:t>
            </w:r>
          </w:p>
        </w:tc>
      </w:tr>
    </w:tbl>
    <w:p>
      <w:pPr>
        <w:widowControl/>
        <w:spacing w:before="120" w:after="120" w:line="360" w:lineRule="auto"/>
        <w:ind w:firstLine="480" w:firstLineChars="20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总体而言，本项目预计土地出让收入、广告牌出租收入对其拟使用的募集资金保障程度较高。建议进一步关注宏观经济环境等影响项目收益情况的风险要素。如项目假设条件发生变化，而导致不能偿还到期债券本金时，本项目可在专项债务限额内以及满足资金覆盖率要求的情况下发行专项债券用于周转偿还，进而在项目收入最终实现后予以归还，或者通过追加资本金等方式来满足还本付息要求。</w:t>
      </w:r>
    </w:p>
    <w:p>
      <w:pPr>
        <w:spacing w:line="360" w:lineRule="auto"/>
        <w:ind w:firstLine="482" w:firstLineChars="200"/>
        <w:outlineLvl w:val="0"/>
        <w:rPr>
          <w:rFonts w:hint="eastAsia" w:ascii="宋体" w:hAnsi="宋体" w:eastAsia="宋体" w:cs="宋体"/>
          <w:b/>
          <w:bCs/>
          <w:sz w:val="24"/>
          <w:szCs w:val="24"/>
        </w:rPr>
      </w:pPr>
      <w:r>
        <w:rPr>
          <w:rFonts w:hint="eastAsia" w:ascii="宋体" w:hAnsi="宋体" w:eastAsia="宋体" w:cs="宋体"/>
          <w:b/>
          <w:bCs/>
          <w:sz w:val="24"/>
          <w:szCs w:val="24"/>
        </w:rPr>
        <w:t>六、潜在风险评估</w:t>
      </w:r>
      <w:bookmarkEnd w:id="35"/>
    </w:p>
    <w:p>
      <w:pPr>
        <w:spacing w:line="360" w:lineRule="auto"/>
        <w:ind w:firstLine="482" w:firstLineChars="200"/>
        <w:outlineLvl w:val="0"/>
        <w:rPr>
          <w:rFonts w:hint="eastAsia" w:ascii="宋体" w:hAnsi="宋体" w:eastAsia="宋体" w:cs="宋体"/>
          <w:b/>
          <w:bCs/>
          <w:sz w:val="24"/>
          <w:szCs w:val="24"/>
        </w:rPr>
      </w:pPr>
      <w:bookmarkStart w:id="36" w:name="_Toc6564"/>
      <w:bookmarkStart w:id="37" w:name="_Toc16405"/>
      <w:bookmarkStart w:id="38" w:name="_Toc498385095"/>
      <w:bookmarkStart w:id="39" w:name="_Toc498385763"/>
      <w:bookmarkStart w:id="40" w:name="_Toc498551274"/>
      <w:bookmarkStart w:id="41" w:name="_Toc20908"/>
      <w:r>
        <w:rPr>
          <w:rFonts w:hint="eastAsia" w:ascii="宋体" w:hAnsi="宋体" w:eastAsia="宋体" w:cs="宋体"/>
          <w:b/>
          <w:bCs/>
          <w:sz w:val="24"/>
          <w:szCs w:val="24"/>
        </w:rPr>
        <w:t>（一）影响项目施工进度或正常运营的风险及控制措施</w:t>
      </w:r>
      <w:bookmarkEnd w:id="36"/>
      <w:bookmarkEnd w:id="37"/>
      <w:bookmarkEnd w:id="38"/>
      <w:bookmarkEnd w:id="39"/>
      <w:bookmarkEnd w:id="40"/>
      <w:bookmarkEnd w:id="41"/>
    </w:p>
    <w:p>
      <w:pPr>
        <w:spacing w:line="360" w:lineRule="auto"/>
        <w:ind w:firstLine="480" w:firstLineChars="200"/>
        <w:outlineLvl w:val="2"/>
        <w:rPr>
          <w:rFonts w:hint="eastAsia" w:ascii="宋体" w:hAnsi="宋体" w:eastAsia="宋体" w:cs="宋体"/>
          <w:sz w:val="24"/>
          <w:szCs w:val="24"/>
        </w:rPr>
      </w:pPr>
      <w:bookmarkStart w:id="42" w:name="_Toc498385764"/>
      <w:bookmarkStart w:id="43" w:name="_Toc498551275"/>
      <w:bookmarkStart w:id="44" w:name="_Toc498385096"/>
      <w:bookmarkStart w:id="45" w:name="_Toc23168"/>
      <w:r>
        <w:rPr>
          <w:rFonts w:hint="eastAsia" w:ascii="宋体" w:hAnsi="宋体" w:eastAsia="宋体" w:cs="宋体"/>
          <w:sz w:val="24"/>
          <w:szCs w:val="24"/>
        </w:rPr>
        <w:t>1</w:t>
      </w:r>
      <w:bookmarkEnd w:id="42"/>
      <w:bookmarkEnd w:id="43"/>
      <w:bookmarkEnd w:id="44"/>
      <w:r>
        <w:rPr>
          <w:rFonts w:hint="eastAsia" w:ascii="宋体" w:hAnsi="宋体" w:eastAsia="宋体" w:cs="宋体"/>
          <w:sz w:val="24"/>
          <w:szCs w:val="24"/>
        </w:rPr>
        <w:t>、政策风险</w:t>
      </w:r>
      <w:bookmarkEnd w:id="45"/>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包括政治变动、国家法规、产业政策、货币政策、财政政策等国家政策的变化对承办单位投资的相关产业产生影响，可能导致所投资项目的市场变动，从而影响项目建设。本项目为公益性民生项目，面临的政策性风险较小。</w:t>
      </w:r>
    </w:p>
    <w:p>
      <w:pPr>
        <w:spacing w:line="360" w:lineRule="auto"/>
        <w:ind w:firstLine="480" w:firstLineChars="200"/>
        <w:outlineLvl w:val="2"/>
        <w:rPr>
          <w:rFonts w:hint="eastAsia" w:ascii="宋体" w:hAnsi="宋体" w:eastAsia="宋体" w:cs="宋体"/>
          <w:sz w:val="24"/>
          <w:szCs w:val="24"/>
        </w:rPr>
      </w:pPr>
      <w:bookmarkStart w:id="46" w:name="_Toc498551276"/>
      <w:bookmarkStart w:id="47" w:name="_Toc498385097"/>
      <w:bookmarkStart w:id="48" w:name="_Toc498385765"/>
      <w:bookmarkStart w:id="49" w:name="_Toc26505"/>
      <w:r>
        <w:rPr>
          <w:rFonts w:hint="eastAsia" w:ascii="宋体" w:hAnsi="宋体" w:eastAsia="宋体" w:cs="宋体"/>
          <w:sz w:val="24"/>
          <w:szCs w:val="24"/>
        </w:rPr>
        <w:t>2</w:t>
      </w:r>
      <w:bookmarkEnd w:id="46"/>
      <w:bookmarkEnd w:id="47"/>
      <w:bookmarkEnd w:id="48"/>
      <w:r>
        <w:rPr>
          <w:rFonts w:hint="eastAsia" w:ascii="宋体" w:hAnsi="宋体" w:eastAsia="宋体" w:cs="宋体"/>
          <w:sz w:val="24"/>
          <w:szCs w:val="24"/>
        </w:rPr>
        <w:t>、项目实施与管理风险</w:t>
      </w:r>
      <w:bookmarkEnd w:id="49"/>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项目建设期间严格执行文明施工标准，确保项目对民众生活的影响降至最低。</w:t>
      </w:r>
    </w:p>
    <w:p>
      <w:pPr>
        <w:spacing w:line="360" w:lineRule="auto"/>
        <w:ind w:firstLine="480" w:firstLineChars="200"/>
        <w:outlineLvl w:val="2"/>
        <w:rPr>
          <w:rFonts w:hint="eastAsia" w:ascii="宋体" w:hAnsi="宋体" w:eastAsia="宋体" w:cs="宋体"/>
          <w:sz w:val="24"/>
          <w:szCs w:val="24"/>
        </w:rPr>
      </w:pPr>
      <w:bookmarkStart w:id="50" w:name="_Toc22995"/>
      <w:r>
        <w:rPr>
          <w:rFonts w:hint="eastAsia" w:ascii="宋体" w:hAnsi="宋体" w:eastAsia="宋体" w:cs="宋体"/>
          <w:sz w:val="24"/>
          <w:szCs w:val="24"/>
        </w:rPr>
        <w:t>3、财务风险</w:t>
      </w:r>
      <w:bookmarkEnd w:id="50"/>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项目总投资规模较大，可能会形成由于资金落实不到位，使项目工期延长，无法按时完成项目建设的风险。项目资金来源拟通过财政拨款、申请发行债券解决，在债券资金的支撑下，项目的实施将会顺利进行，因此，项目面临的财务风险较小。</w:t>
      </w:r>
    </w:p>
    <w:p>
      <w:pPr>
        <w:spacing w:line="360" w:lineRule="auto"/>
        <w:ind w:firstLine="480" w:firstLineChars="200"/>
        <w:outlineLvl w:val="2"/>
        <w:rPr>
          <w:rFonts w:hint="eastAsia" w:ascii="宋体" w:hAnsi="宋体" w:eastAsia="宋体" w:cs="宋体"/>
          <w:sz w:val="24"/>
          <w:szCs w:val="24"/>
        </w:rPr>
      </w:pPr>
      <w:bookmarkStart w:id="51" w:name="_Toc18164"/>
      <w:r>
        <w:rPr>
          <w:rFonts w:hint="eastAsia" w:ascii="宋体" w:hAnsi="宋体" w:eastAsia="宋体" w:cs="宋体"/>
          <w:sz w:val="24"/>
          <w:szCs w:val="24"/>
        </w:rPr>
        <w:t>4.社会风险</w:t>
      </w:r>
      <w:bookmarkEnd w:id="51"/>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项目带来的众多外来人员、大量施工机械、不可避免的施工噪声等，在项目实施期间可能会对附近居民正常生活造成困扰，引起居民的抵制情绪，干扰项目的正常进度，处理不当可能导致项目工期无限期延长的风险。</w:t>
      </w:r>
    </w:p>
    <w:p>
      <w:pPr>
        <w:spacing w:line="360" w:lineRule="auto"/>
        <w:ind w:firstLine="482" w:firstLineChars="200"/>
        <w:outlineLvl w:val="0"/>
        <w:rPr>
          <w:rFonts w:hint="eastAsia" w:ascii="宋体" w:hAnsi="宋体" w:eastAsia="宋体" w:cs="宋体"/>
          <w:b/>
          <w:bCs/>
          <w:sz w:val="24"/>
          <w:szCs w:val="24"/>
        </w:rPr>
      </w:pPr>
      <w:bookmarkStart w:id="52" w:name="_Toc8575"/>
      <w:bookmarkStart w:id="53" w:name="_Toc4601"/>
      <w:bookmarkStart w:id="54" w:name="_Toc498385098"/>
      <w:bookmarkStart w:id="55" w:name="_Toc17161"/>
      <w:bookmarkStart w:id="56" w:name="_Toc498385766"/>
      <w:bookmarkStart w:id="57" w:name="_Toc498551277"/>
      <w:r>
        <w:rPr>
          <w:rFonts w:hint="eastAsia" w:ascii="宋体" w:hAnsi="宋体" w:eastAsia="宋体" w:cs="宋体"/>
          <w:b/>
          <w:bCs/>
          <w:sz w:val="24"/>
          <w:szCs w:val="24"/>
        </w:rPr>
        <w:t>（二）影响项目收益的风险及控制措施</w:t>
      </w:r>
      <w:bookmarkEnd w:id="52"/>
      <w:bookmarkEnd w:id="53"/>
      <w:bookmarkEnd w:id="54"/>
      <w:bookmarkEnd w:id="55"/>
      <w:bookmarkEnd w:id="56"/>
      <w:bookmarkEnd w:id="57"/>
    </w:p>
    <w:p>
      <w:pPr>
        <w:spacing w:line="360" w:lineRule="auto"/>
        <w:ind w:firstLine="480" w:firstLineChars="200"/>
        <w:rPr>
          <w:rFonts w:hint="eastAsia" w:ascii="宋体" w:hAnsi="宋体" w:eastAsia="宋体" w:cs="宋体"/>
          <w:sz w:val="24"/>
          <w:szCs w:val="24"/>
        </w:rPr>
      </w:pPr>
      <w:bookmarkStart w:id="58" w:name="_Toc498385099"/>
      <w:bookmarkStart w:id="59" w:name="_Toc498551279"/>
      <w:bookmarkStart w:id="60" w:name="_Toc498385767"/>
      <w:r>
        <w:rPr>
          <w:rFonts w:hint="eastAsia" w:ascii="宋体" w:hAnsi="宋体" w:eastAsia="宋体" w:cs="宋体"/>
          <w:sz w:val="24"/>
          <w:szCs w:val="24"/>
        </w:rPr>
        <w:t>工程可行性研究报告中的总投资额与实际造价成本可能会发生偏差，影响资金项目资金投入和发债计划安排。</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风险控制措施：按照市政府主管部门的批复结果及时调整项目资金投入计划，保障项目顺利实施。</w:t>
      </w:r>
    </w:p>
    <w:bookmarkEnd w:id="58"/>
    <w:bookmarkEnd w:id="59"/>
    <w:bookmarkEnd w:id="60"/>
    <w:p>
      <w:pPr>
        <w:spacing w:line="360" w:lineRule="auto"/>
        <w:ind w:firstLine="482" w:firstLineChars="200"/>
        <w:outlineLvl w:val="0"/>
        <w:rPr>
          <w:rFonts w:hint="eastAsia" w:ascii="宋体" w:hAnsi="宋体" w:eastAsia="宋体" w:cs="宋体"/>
          <w:b/>
          <w:bCs/>
          <w:sz w:val="24"/>
          <w:szCs w:val="24"/>
        </w:rPr>
      </w:pPr>
      <w:bookmarkStart w:id="61" w:name="_Toc30358"/>
      <w:bookmarkStart w:id="62" w:name="_Toc498551286"/>
      <w:bookmarkStart w:id="63" w:name="_Toc498385773"/>
      <w:bookmarkStart w:id="64" w:name="_Toc498385105"/>
      <w:bookmarkStart w:id="65" w:name="_Toc10542"/>
      <w:bookmarkStart w:id="66" w:name="_Toc7640"/>
      <w:r>
        <w:rPr>
          <w:rFonts w:hint="eastAsia" w:ascii="宋体" w:hAnsi="宋体" w:eastAsia="宋体" w:cs="宋体"/>
          <w:b/>
          <w:bCs/>
          <w:sz w:val="24"/>
          <w:szCs w:val="24"/>
        </w:rPr>
        <w:t>（三）影响融资平衡结果的风险及控制措施</w:t>
      </w:r>
      <w:bookmarkEnd w:id="61"/>
      <w:bookmarkEnd w:id="62"/>
      <w:bookmarkEnd w:id="63"/>
      <w:bookmarkEnd w:id="64"/>
      <w:bookmarkEnd w:id="65"/>
      <w:bookmarkEnd w:id="66"/>
    </w:p>
    <w:p>
      <w:pPr>
        <w:spacing w:line="360" w:lineRule="auto"/>
        <w:ind w:firstLine="480" w:firstLineChars="200"/>
        <w:outlineLvl w:val="2"/>
        <w:rPr>
          <w:rFonts w:hint="eastAsia" w:ascii="宋体" w:hAnsi="宋体" w:eastAsia="宋体" w:cs="宋体"/>
          <w:sz w:val="24"/>
          <w:szCs w:val="24"/>
        </w:rPr>
      </w:pPr>
      <w:bookmarkStart w:id="67" w:name="_Toc498385106"/>
      <w:bookmarkStart w:id="68" w:name="_Toc498385774"/>
      <w:bookmarkStart w:id="69" w:name="_Toc7555"/>
      <w:bookmarkStart w:id="70" w:name="_Toc498551287"/>
      <w:r>
        <w:rPr>
          <w:rFonts w:hint="eastAsia" w:ascii="宋体" w:hAnsi="宋体" w:eastAsia="宋体" w:cs="宋体"/>
          <w:sz w:val="24"/>
          <w:szCs w:val="24"/>
        </w:rPr>
        <w:t>1、投资测算不准确风险</w:t>
      </w:r>
      <w:bookmarkEnd w:id="67"/>
      <w:bookmarkEnd w:id="68"/>
      <w:bookmarkEnd w:id="69"/>
      <w:bookmarkEnd w:id="70"/>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影响本项目融资平衡最大的风险在于对未来经营预测、项目进度以及项目整体现金流测算等重要环节出现判断偏差。经营预测偏大或偏小直接导致投资总额设计偏大或偏小；对项目进度错判将导致融资节奏错乱，导致资金不能及时足额注入项目或者大额资金不能充分运用的后果；整体现金流测算出现偏差将导致项目可行性分析不能及时纠偏，项目资金投入和现金流入不能平衡的结果。</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风险控制措施：债券内所含项目的可行性研究报告均聘请了国内知名研究院经过大量分析论证工作后得出，分析结果较为可靠。</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此外，根据《财政部关于试点发展项目收益与融资自求平衡的地方政府专项债券品种的通知》（财预〔2017〕89号）规定，因项目取得的政府性基金或专项收入暂时难以实现，不能偿还到期债券本金时，可在专项债务限额内发行相关专项债券周转偿还，项目收入实现后予以归还。同时，为控制融资平衡风险，市政府有权视项目平衡情况动态调整项目资本金比例。</w:t>
      </w:r>
    </w:p>
    <w:p>
      <w:pPr>
        <w:spacing w:line="360" w:lineRule="auto"/>
        <w:ind w:firstLine="480" w:firstLineChars="200"/>
        <w:outlineLvl w:val="2"/>
        <w:rPr>
          <w:rFonts w:hint="eastAsia" w:ascii="宋体" w:hAnsi="宋体" w:eastAsia="宋体" w:cs="宋体"/>
          <w:sz w:val="24"/>
          <w:szCs w:val="24"/>
        </w:rPr>
      </w:pPr>
      <w:bookmarkStart w:id="71" w:name="_Toc3687"/>
      <w:r>
        <w:rPr>
          <w:rFonts w:hint="eastAsia" w:ascii="宋体" w:hAnsi="宋体" w:eastAsia="宋体" w:cs="宋体"/>
          <w:sz w:val="24"/>
          <w:szCs w:val="24"/>
        </w:rPr>
        <w:t>2、利率波动风险</w:t>
      </w:r>
      <w:bookmarkEnd w:id="71"/>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在本政府专项债券存续期内，国际、国内宏观经济环境的变化，国家经济政策变动等因素会引起债务资本市场利率的波动，市场利率波动将会对本项目的财务成本产生影响，进而影响项目投资收益的平衡。</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风险控制措施：为控制项目融资平衡风险，可动态调整债券发行期限和还款方式及时间，做好期限配比、还款计划和准备，加快资金周转，适当增大流动比率，充分盘活资金，用资金使用效率收益对冲利率波动损失。</w:t>
      </w:r>
    </w:p>
    <w:p>
      <w:pPr>
        <w:spacing w:line="360" w:lineRule="auto"/>
        <w:ind w:firstLine="480" w:firstLineChars="200"/>
        <w:outlineLvl w:val="2"/>
        <w:rPr>
          <w:rFonts w:hint="eastAsia" w:ascii="宋体" w:hAnsi="宋体" w:eastAsia="宋体" w:cs="宋体"/>
          <w:sz w:val="24"/>
          <w:szCs w:val="24"/>
        </w:rPr>
      </w:pPr>
      <w:bookmarkStart w:id="72" w:name="_Toc498551289"/>
      <w:bookmarkStart w:id="73" w:name="_Toc25085"/>
      <w:r>
        <w:rPr>
          <w:rFonts w:hint="eastAsia" w:ascii="宋体" w:hAnsi="宋体" w:eastAsia="宋体" w:cs="宋体"/>
          <w:sz w:val="24"/>
          <w:szCs w:val="24"/>
        </w:rPr>
        <w:t>3、存续债券置换不畅风险</w:t>
      </w:r>
      <w:bookmarkEnd w:id="72"/>
      <w:bookmarkEnd w:id="73"/>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根据《地方政府专项债务预算管理办法》（财预〔2016〕155号）第六条规定，专项债务本金通过对应的政府性基金收入、专项收入、发行专项债券等偿还。由于此次发行债券涉及项目建设期较长，项目经营收入回款较慢，若本期政府专项债券到期时项目收入不足以偿还本期债券，发行人将发行新的政府专项债券置换本期债券。因此存在由于新一期政府专项债券不能足额及时募集而造成本期政府专项债券不能按期足额兑付的风险。</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风险控制措施：为防止发生存续债券不能顺畅置换的风险，发行人将会同主承销商及承销团成员提前准备发行资料，选取合适发行时间窗口，根据市场行情科学定价，力争在存续债券兑付日之前及时足额地募集到还款资金。</w:t>
      </w:r>
    </w:p>
    <w:p>
      <w:pPr>
        <w:spacing w:before="159" w:beforeLines="50" w:line="360" w:lineRule="auto"/>
        <w:ind w:firstLine="482" w:firstLineChars="200"/>
        <w:outlineLvl w:val="0"/>
        <w:rPr>
          <w:rFonts w:hint="eastAsia" w:ascii="宋体" w:hAnsi="宋体" w:eastAsia="宋体" w:cs="宋体"/>
          <w:b/>
          <w:sz w:val="24"/>
          <w:szCs w:val="24"/>
        </w:rPr>
      </w:pPr>
      <w:bookmarkStart w:id="74" w:name="_Toc24781"/>
      <w:bookmarkStart w:id="75" w:name="_Toc15942"/>
      <w:bookmarkStart w:id="76" w:name="_Toc14093"/>
      <w:bookmarkStart w:id="77" w:name="_Toc20734"/>
      <w:bookmarkStart w:id="78" w:name="_Toc5677"/>
      <w:bookmarkStart w:id="79" w:name="_Toc8534"/>
      <w:bookmarkStart w:id="80" w:name="_Toc13008"/>
      <w:bookmarkStart w:id="81" w:name="_Toc1287"/>
      <w:bookmarkStart w:id="82" w:name="_Toc10210"/>
      <w:bookmarkStart w:id="83" w:name="_Toc1725"/>
      <w:bookmarkStart w:id="84" w:name="_Toc9496"/>
      <w:bookmarkStart w:id="85" w:name="_Toc5637"/>
      <w:bookmarkStart w:id="86" w:name="_Toc22531"/>
      <w:bookmarkStart w:id="87" w:name="_Toc4735"/>
      <w:bookmarkStart w:id="88" w:name="_Toc9133"/>
      <w:bookmarkStart w:id="89" w:name="_Toc32327"/>
      <w:bookmarkStart w:id="90" w:name="_Toc23808"/>
      <w:bookmarkStart w:id="91" w:name="_Toc11499"/>
      <w:bookmarkStart w:id="92" w:name="_Toc6349"/>
      <w:bookmarkStart w:id="93" w:name="_Toc17939"/>
      <w:bookmarkStart w:id="94" w:name="_Toc24199"/>
      <w:bookmarkStart w:id="95" w:name="_Toc3051"/>
      <w:bookmarkStart w:id="96" w:name="_Toc4935"/>
      <w:bookmarkStart w:id="97" w:name="_Toc5009"/>
      <w:bookmarkStart w:id="98" w:name="_Toc2036"/>
      <w:bookmarkStart w:id="99" w:name="_Toc16334"/>
      <w:bookmarkStart w:id="100" w:name="_Toc23636"/>
      <w:bookmarkStart w:id="101" w:name="_Toc32395"/>
      <w:bookmarkStart w:id="102" w:name="_GoBack"/>
      <w:bookmarkEnd w:id="102"/>
      <w:r>
        <w:rPr>
          <w:rFonts w:hint="eastAsia" w:ascii="宋体" w:hAnsi="宋体" w:eastAsia="宋体" w:cs="宋体"/>
          <w:b/>
          <w:sz w:val="24"/>
          <w:szCs w:val="24"/>
        </w:rPr>
        <w:t>七、还款保障措施</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根据《财政部关于印发&lt;地方政府专项债务预算管理办法〉的通知》（财预〔2016〕155号）规定，专项债务应当有偿还计划和稳定的偿还资金来源。专项债务本金通过对应的政府性基金收入、专项收入、发行专项债券等偿还。专项债务利息通过对应的政府性基金收入、专项收入偿还，不通过发行专项债券偿还。专项债务收支按照对应的政府性基金收入、专项收入实现项目收支平衡。</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二）根据《国务院办公厅关于印发地方政府性债务风险应急处置预案的通知》（国办函〔2016〕88号）规定，对地方政府债券，地方政府依法承担全部偿还责任。市县财政将根据《财政部关于印发&lt;地方政府专项债务预算管理办法〉的通知》（财预〔2016〕155号）规定,及时按照转贷协议约定向省级财政部门缴纳本级应当承担的还本付息资金，由省级财政部门按照合同约定及时偿还专项债券到期本息。如偿债出现困难，将通过调减投资计划、调整预算支出等措施进行偿债。未及时足额向省级财政部门缴纳专项债券还本付息资金的，省级财政部门可以采取适当方式扣回。</w:t>
      </w:r>
    </w:p>
    <w:p>
      <w:pPr>
        <w:spacing w:line="360" w:lineRule="auto"/>
        <w:ind w:firstLine="480" w:firstLineChars="200"/>
        <w:rPr>
          <w:rFonts w:hint="eastAsia" w:ascii="宋体" w:hAnsi="宋体" w:eastAsia="宋体" w:cs="宋体"/>
          <w:sz w:val="24"/>
          <w:szCs w:val="24"/>
        </w:rPr>
      </w:pPr>
    </w:p>
    <w:p>
      <w:pPr>
        <w:spacing w:line="360" w:lineRule="auto"/>
        <w:ind w:firstLine="480" w:firstLineChars="200"/>
        <w:rPr>
          <w:rFonts w:hint="eastAsia" w:ascii="宋体" w:hAnsi="宋体" w:eastAsia="宋体" w:cs="宋体"/>
          <w:sz w:val="24"/>
          <w:szCs w:val="24"/>
        </w:rPr>
      </w:pPr>
    </w:p>
    <w:p>
      <w:pPr>
        <w:spacing w:line="360" w:lineRule="auto"/>
        <w:ind w:firstLine="480" w:firstLineChars="200"/>
        <w:jc w:val="right"/>
        <w:rPr>
          <w:rFonts w:hint="eastAsia" w:ascii="宋体" w:hAnsi="宋体" w:eastAsia="宋体" w:cs="宋体"/>
          <w:sz w:val="24"/>
          <w:szCs w:val="24"/>
        </w:rPr>
      </w:pPr>
      <w:r>
        <w:rPr>
          <w:rFonts w:hint="eastAsia" w:ascii="宋体" w:hAnsi="宋体" w:eastAsia="宋体" w:cs="宋体"/>
          <w:sz w:val="24"/>
          <w:szCs w:val="24"/>
        </w:rPr>
        <w:t>海口市路桥建设投资有限公司</w:t>
      </w:r>
    </w:p>
    <w:p>
      <w:pPr>
        <w:spacing w:line="360" w:lineRule="auto"/>
        <w:ind w:firstLine="480" w:firstLineChars="200"/>
        <w:jc w:val="right"/>
        <w:rPr>
          <w:rFonts w:hint="eastAsia" w:ascii="宋体" w:hAnsi="宋体" w:eastAsia="宋体" w:cs="宋体"/>
          <w:color w:val="000000"/>
          <w:kern w:val="0"/>
          <w:sz w:val="24"/>
          <w:szCs w:val="24"/>
        </w:rPr>
      </w:pPr>
      <w:r>
        <w:rPr>
          <w:rFonts w:hint="eastAsia" w:ascii="宋体" w:hAnsi="宋体" w:eastAsia="宋体" w:cs="宋体"/>
          <w:sz w:val="24"/>
          <w:szCs w:val="24"/>
        </w:rPr>
        <w:t>2025年6月</w:t>
      </w:r>
    </w:p>
    <w:sectPr>
      <w:headerReference r:id="rId7" w:type="default"/>
      <w:footerReference r:id="rId8" w:type="default"/>
      <w:pgSz w:w="11906" w:h="16838"/>
      <w:pgMar w:top="1440" w:right="1803" w:bottom="1440" w:left="1803" w:header="851" w:footer="992" w:gutter="0"/>
      <w:cols w:space="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华文楷体">
    <w:panose1 w:val="02010600040101010101"/>
    <w:charset w:val="86"/>
    <w:family w:val="auto"/>
    <w:pitch w:val="default"/>
    <w:sig w:usb0="00000287" w:usb1="080F0000" w:usb2="00000000" w:usb3="00000000" w:csb0="0004009F" w:csb1="DFD70000"/>
  </w:font>
  <w:font w:name="LF_Kai">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roman"/>
    <w:pitch w:val="default"/>
    <w:sig w:usb0="FFFFFFFF" w:usb1="E9FFFFFF" w:usb2="0000003F" w:usb3="00000000" w:csb0="603F01FF" w:csb1="FFFF0000"/>
  </w:font>
  <w:font w:name="等线 Light">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Cambria Math">
    <w:panose1 w:val="02040503050406030204"/>
    <w:charset w:val="00"/>
    <w:family w:val="roman"/>
    <w:pitch w:val="default"/>
    <w:sig w:usb0="E00006FF" w:usb1="420024FF" w:usb2="02000000" w:usb3="00000000" w:csb0="2000019F" w:csb1="00000000"/>
  </w:font>
  <w:font w:name="华文细黑">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rPr>
        <w:rFonts w:hint="eastAsia"/>
      </w:rPr>
    </w:pPr>
  </w:p>
  <w:p>
    <w:pPr>
      <w:pStyle w:val="10"/>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89376670"/>
    </w:sdtPr>
    <w:sdtContent>
      <w:p>
        <w:pPr>
          <w:pStyle w:val="10"/>
          <w:jc w:val="center"/>
          <w:rPr>
            <w:rFonts w:hint="eastAsia"/>
          </w:rPr>
        </w:pPr>
        <w:r>
          <w:fldChar w:fldCharType="begin"/>
        </w:r>
        <w:r>
          <w:instrText xml:space="preserve">PAGE   \* MERGEFORMAT</w:instrText>
        </w:r>
        <w:r>
          <w:fldChar w:fldCharType="separate"/>
        </w:r>
        <w:r>
          <w:rPr>
            <w:lang w:val="zh-CN"/>
          </w:rPr>
          <w:t>2</w:t>
        </w:r>
        <w:r>
          <w:fldChar w:fldCharType="end"/>
        </w:r>
      </w:p>
    </w:sdtContent>
  </w:sdt>
  <w:p>
    <w:pPr>
      <w:tabs>
        <w:tab w:val="center" w:pos="4320"/>
        <w:tab w:val="right" w:pos="8640"/>
      </w:tabs>
      <w:rPr>
        <w:rFonts w:ascii="Calibri" w:hAnsi="Calibri" w:eastAsia="宋体"/>
        <w:szCs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0238946"/>
    </w:sdtPr>
    <w:sdtContent>
      <w:p>
        <w:pPr>
          <w:pStyle w:val="10"/>
          <w:jc w:val="center"/>
          <w:rPr>
            <w:rFonts w:hint="eastAsia"/>
          </w:rPr>
        </w:pPr>
        <w:r>
          <w:fldChar w:fldCharType="begin"/>
        </w:r>
        <w:r>
          <w:instrText xml:space="preserve">PAGE   \* MERGEFORMAT</w:instrText>
        </w:r>
        <w:r>
          <w:fldChar w:fldCharType="separate"/>
        </w:r>
        <w:r>
          <w:rPr>
            <w:lang w:val="zh-CN"/>
          </w:rPr>
          <w:t>2</w:t>
        </w:r>
        <w:r>
          <w:fldChar w:fldCharType="end"/>
        </w:r>
      </w:p>
    </w:sdtContent>
  </w:sdt>
  <w:p>
    <w:pPr>
      <w:pStyle w:val="10"/>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8">
    <w:p>
      <w:r>
        <w:separator/>
      </w:r>
    </w:p>
  </w:footnote>
  <w:footnote w:type="continuationSeparator" w:id="9">
    <w:p>
      <w:r>
        <w:continuationSeparator/>
      </w:r>
    </w:p>
  </w:footnote>
  <w:footnote w:id="0">
    <w:p>
      <w:pPr>
        <w:pStyle w:val="13"/>
        <w:rPr>
          <w:rFonts w:hint="eastAsia" w:ascii="宋体" w:hAnsi="宋体" w:eastAsia="宋体"/>
        </w:rPr>
      </w:pPr>
      <w:r>
        <w:rPr>
          <w:rStyle w:val="23"/>
          <w:rFonts w:ascii="宋体" w:hAnsi="宋体" w:eastAsia="宋体"/>
        </w:rPr>
        <w:footnoteRef/>
      </w:r>
      <w:r>
        <w:rPr>
          <w:rFonts w:ascii="宋体" w:hAnsi="宋体" w:eastAsia="宋体"/>
        </w:rPr>
        <w:t xml:space="preserve"> </w:t>
      </w:r>
      <w:r>
        <w:rPr>
          <w:rFonts w:hint="eastAsia" w:ascii="宋体" w:hAnsi="宋体" w:eastAsia="宋体"/>
        </w:rPr>
        <w:t>本息覆盖率</w:t>
      </w:r>
      <w:r>
        <w:rPr>
          <w:rFonts w:ascii="宋体" w:hAnsi="宋体" w:eastAsia="宋体"/>
        </w:rPr>
        <w:t>=（期末项目累计现金结存额/债券本息）+1</w:t>
      </w:r>
      <w:r>
        <w:rPr>
          <w:rFonts w:hint="eastAsia" w:ascii="宋体" w:hAnsi="宋体" w:eastAsia="宋体"/>
        </w:rPr>
        <w:t>，下同。</w:t>
      </w:r>
    </w:p>
  </w:footnote>
  <w:footnote w:id="1">
    <w:p>
      <w:pPr>
        <w:pStyle w:val="13"/>
        <w:rPr>
          <w:rFonts w:hint="eastAsia" w:ascii="等线 Light" w:hAnsi="等线 Light" w:eastAsia="等线 Light"/>
        </w:rPr>
      </w:pPr>
      <w:r>
        <w:rPr>
          <w:rStyle w:val="23"/>
          <w:rFonts w:ascii="宋体" w:hAnsi="宋体" w:eastAsia="宋体"/>
        </w:rPr>
        <w:footnoteRef/>
      </w:r>
      <w:r>
        <w:rPr>
          <w:rFonts w:ascii="宋体" w:hAnsi="宋体" w:eastAsia="宋体"/>
        </w:rPr>
        <w:t xml:space="preserve"> </w:t>
      </w:r>
      <w:r>
        <w:rPr>
          <w:rFonts w:hint="eastAsia" w:ascii="宋体" w:hAnsi="宋体" w:eastAsia="宋体"/>
        </w:rPr>
        <w:t>本息覆盖倍数</w:t>
      </w:r>
      <w:r>
        <w:rPr>
          <w:rFonts w:ascii="宋体" w:hAnsi="宋体" w:eastAsia="宋体"/>
        </w:rPr>
        <w:t>=</w:t>
      </w:r>
      <w:r>
        <w:rPr>
          <w:rFonts w:hint="eastAsia" w:ascii="宋体" w:hAnsi="宋体" w:eastAsia="宋体"/>
        </w:rPr>
        <w:t>用于资金平衡的项目收益</w:t>
      </w:r>
      <w:r>
        <w:rPr>
          <w:rFonts w:ascii="宋体" w:hAnsi="宋体" w:eastAsia="宋体"/>
        </w:rPr>
        <w:t>/债券本息，下同</w:t>
      </w:r>
      <w:r>
        <w:rPr>
          <w:rFonts w:hint="eastAsia" w:ascii="宋体" w:hAnsi="宋体" w:eastAsia="宋体"/>
        </w:rPr>
        <w:t>。</w:t>
      </w:r>
    </w:p>
  </w:footnote>
  <w:footnote w:id="2">
    <w:p>
      <w:pPr>
        <w:pStyle w:val="44"/>
        <w:jc w:val="both"/>
        <w:rPr>
          <w:rFonts w:hint="eastAsia" w:ascii="等线" w:hAnsi="等线" w:eastAsia="等线" w:cs="微软雅黑"/>
          <w:color w:val="000000"/>
          <w:sz w:val="16"/>
          <w:szCs w:val="18"/>
          <w:lang w:val="en-US"/>
        </w:rPr>
      </w:pPr>
      <w:r>
        <w:rPr>
          <w:rStyle w:val="23"/>
          <w:rFonts w:ascii="等线" w:hAnsi="等线" w:eastAsia="等线"/>
          <w:sz w:val="16"/>
        </w:rPr>
        <w:footnoteRef/>
      </w:r>
      <w:r>
        <w:rPr>
          <w:rFonts w:hint="eastAsia" w:ascii="等线" w:hAnsi="等线" w:eastAsia="等线" w:cs="微软雅黑"/>
          <w:color w:val="000000"/>
          <w:sz w:val="16"/>
          <w:szCs w:val="18"/>
          <w:lang w:val="en-US"/>
        </w:rPr>
        <w:t>债券本息覆盖率</w:t>
      </w:r>
      <w:r>
        <w:rPr>
          <w:rFonts w:ascii="等线" w:hAnsi="等线" w:eastAsia="等线" w:cs="微软雅黑"/>
          <w:color w:val="000000"/>
          <w:sz w:val="16"/>
          <w:szCs w:val="18"/>
          <w:lang w:val="en-US"/>
        </w:rPr>
        <w:t>=</w:t>
      </w:r>
      <w:r>
        <w:rPr>
          <w:rFonts w:hint="eastAsia" w:ascii="等线" w:hAnsi="等线" w:eastAsia="等线" w:cs="微软雅黑"/>
          <w:color w:val="000000"/>
          <w:sz w:val="16"/>
          <w:szCs w:val="18"/>
          <w:lang w:val="en-US"/>
        </w:rPr>
        <w:t>期末项目累计现金结存额</w:t>
      </w:r>
      <w:r>
        <w:rPr>
          <w:rFonts w:ascii="等线" w:hAnsi="等线" w:eastAsia="等线" w:cs="微软雅黑"/>
          <w:color w:val="000000"/>
          <w:sz w:val="16"/>
          <w:szCs w:val="18"/>
          <w:lang w:val="en-US"/>
        </w:rPr>
        <w:t>/</w:t>
      </w:r>
      <w:r>
        <w:rPr>
          <w:rFonts w:hint="eastAsia" w:ascii="等线" w:hAnsi="等线" w:eastAsia="等线" w:cs="微软雅黑"/>
          <w:color w:val="000000"/>
          <w:sz w:val="16"/>
          <w:szCs w:val="18"/>
          <w:lang w:val="en-US"/>
        </w:rPr>
        <w:t>债券本息</w:t>
      </w:r>
      <w:r>
        <w:rPr>
          <w:rFonts w:ascii="等线" w:hAnsi="等线" w:eastAsia="等线" w:cs="微软雅黑"/>
          <w:color w:val="000000"/>
          <w:sz w:val="16"/>
          <w:szCs w:val="18"/>
          <w:lang w:val="en-US"/>
        </w:rPr>
        <w:t>+1</w:t>
      </w:r>
      <w:r>
        <w:rPr>
          <w:rFonts w:hint="eastAsia" w:ascii="等线" w:hAnsi="等线" w:eastAsia="等线" w:cs="微软雅黑"/>
          <w:color w:val="000000"/>
          <w:sz w:val="16"/>
          <w:szCs w:val="18"/>
          <w:lang w:val="en-US"/>
        </w:rPr>
        <w:t>。</w:t>
      </w:r>
    </w:p>
  </w:footnote>
  <w:footnote w:id="3">
    <w:p>
      <w:pPr>
        <w:pStyle w:val="44"/>
        <w:jc w:val="both"/>
        <w:rPr>
          <w:rFonts w:eastAsia="华文细黑" w:cs="微软雅黑"/>
          <w:color w:val="000000"/>
          <w:sz w:val="16"/>
          <w:szCs w:val="18"/>
          <w:lang w:val="en-US"/>
        </w:rPr>
      </w:pPr>
      <w:r>
        <w:rPr>
          <w:rStyle w:val="23"/>
          <w:rFonts w:ascii="等线" w:hAnsi="等线" w:eastAsia="等线"/>
          <w:sz w:val="16"/>
        </w:rPr>
        <w:footnoteRef/>
      </w:r>
      <w:r>
        <w:rPr>
          <w:rFonts w:hint="eastAsia" w:ascii="等线" w:hAnsi="等线" w:eastAsia="等线" w:cs="微软雅黑"/>
          <w:color w:val="000000"/>
          <w:sz w:val="16"/>
          <w:szCs w:val="18"/>
          <w:lang w:val="en-US"/>
        </w:rPr>
        <w:t>债券本息覆盖倍数</w:t>
      </w:r>
      <w:r>
        <w:rPr>
          <w:rFonts w:ascii="等线" w:hAnsi="等线" w:eastAsia="等线" w:cs="微软雅黑"/>
          <w:color w:val="000000"/>
          <w:sz w:val="16"/>
          <w:szCs w:val="18"/>
          <w:lang w:val="en-US"/>
        </w:rPr>
        <w:t>=</w:t>
      </w:r>
      <w:r>
        <w:rPr>
          <w:rFonts w:hint="eastAsia" w:ascii="等线" w:hAnsi="等线" w:eastAsia="等线" w:cs="微软雅黑"/>
          <w:color w:val="000000"/>
          <w:sz w:val="16"/>
          <w:szCs w:val="18"/>
          <w:lang w:val="en-US"/>
        </w:rPr>
        <w:t>（运营收入-运营成本-税费）/债券本息。</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1"/>
      </w:pBdr>
      <w:tabs>
        <w:tab w:val="left" w:pos="6178"/>
        <w:tab w:val="clear" w:pos="8306"/>
      </w:tabs>
      <w:rPr>
        <w:rFonts w:hint="eastAsia"/>
      </w:rPr>
    </w:pPr>
    <w:r>
      <w:rPr>
        <w:rFonts w:hint="eastAsia" w:eastAsiaTheme="minorEastAsia"/>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1"/>
      </w:pBdr>
      <w:tabs>
        <w:tab w:val="left" w:pos="6178"/>
        <w:tab w:val="clear" w:pos="8306"/>
      </w:tabs>
      <w:rPr>
        <w:rFonts w:hint="eastAsia"/>
      </w:rPr>
    </w:pPr>
    <w:r>
      <w:rPr>
        <w:rFonts w:hint="eastAsia" w:eastAsiaTheme="minorEastAsi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NotTrackMoves/>
  <w:documentProtection w:enforcement="0"/>
  <w:defaultTabStop w:val="420"/>
  <w:drawingGridHorizontalSpacing w:val="105"/>
  <w:drawingGridVerticalSpacing w:val="159"/>
  <w:noPunctuationKerning w:val="1"/>
  <w:characterSpacingControl w:val="compressPunctuation"/>
  <w:footnotePr>
    <w:footnote w:id="8"/>
    <w:footnote w:id="9"/>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EzODQyZjk5ZDEyOGUxZmY0ODk1YjYxYjNlN2Q2MzEifQ=="/>
  </w:docVars>
  <w:rsids>
    <w:rsidRoot w:val="00B271AC"/>
    <w:rsid w:val="000007E4"/>
    <w:rsid w:val="000015A0"/>
    <w:rsid w:val="00002D01"/>
    <w:rsid w:val="00004E30"/>
    <w:rsid w:val="0001472F"/>
    <w:rsid w:val="000178C8"/>
    <w:rsid w:val="000218B0"/>
    <w:rsid w:val="00037152"/>
    <w:rsid w:val="00040E2E"/>
    <w:rsid w:val="00041492"/>
    <w:rsid w:val="00045482"/>
    <w:rsid w:val="0004663A"/>
    <w:rsid w:val="00046784"/>
    <w:rsid w:val="00046C6C"/>
    <w:rsid w:val="000507C1"/>
    <w:rsid w:val="00050C72"/>
    <w:rsid w:val="00052807"/>
    <w:rsid w:val="0005306A"/>
    <w:rsid w:val="0005585E"/>
    <w:rsid w:val="00071F82"/>
    <w:rsid w:val="00073AB2"/>
    <w:rsid w:val="000742D5"/>
    <w:rsid w:val="00076136"/>
    <w:rsid w:val="00083F24"/>
    <w:rsid w:val="00084EC9"/>
    <w:rsid w:val="00086D89"/>
    <w:rsid w:val="000947AF"/>
    <w:rsid w:val="00095948"/>
    <w:rsid w:val="000A1145"/>
    <w:rsid w:val="000A64A1"/>
    <w:rsid w:val="000B1600"/>
    <w:rsid w:val="000B2830"/>
    <w:rsid w:val="000B4E02"/>
    <w:rsid w:val="000D53AB"/>
    <w:rsid w:val="000E32CD"/>
    <w:rsid w:val="000F0276"/>
    <w:rsid w:val="000F0FBF"/>
    <w:rsid w:val="000F76FD"/>
    <w:rsid w:val="00100A4A"/>
    <w:rsid w:val="00104E92"/>
    <w:rsid w:val="00107E7D"/>
    <w:rsid w:val="00110490"/>
    <w:rsid w:val="0011671E"/>
    <w:rsid w:val="00124EEF"/>
    <w:rsid w:val="00124FA3"/>
    <w:rsid w:val="001267AA"/>
    <w:rsid w:val="0013649A"/>
    <w:rsid w:val="001375C0"/>
    <w:rsid w:val="001402B8"/>
    <w:rsid w:val="00141A89"/>
    <w:rsid w:val="001420D3"/>
    <w:rsid w:val="00144B23"/>
    <w:rsid w:val="0015056D"/>
    <w:rsid w:val="001521DB"/>
    <w:rsid w:val="00153AB8"/>
    <w:rsid w:val="00162879"/>
    <w:rsid w:val="00172B35"/>
    <w:rsid w:val="001745B6"/>
    <w:rsid w:val="001749C6"/>
    <w:rsid w:val="00177535"/>
    <w:rsid w:val="00180F34"/>
    <w:rsid w:val="001814C3"/>
    <w:rsid w:val="0018403A"/>
    <w:rsid w:val="00187349"/>
    <w:rsid w:val="00187A6B"/>
    <w:rsid w:val="00191B0F"/>
    <w:rsid w:val="001922F6"/>
    <w:rsid w:val="001A21B6"/>
    <w:rsid w:val="001B2140"/>
    <w:rsid w:val="001B5627"/>
    <w:rsid w:val="001C1869"/>
    <w:rsid w:val="001C4326"/>
    <w:rsid w:val="001D5718"/>
    <w:rsid w:val="001D7C32"/>
    <w:rsid w:val="001E4180"/>
    <w:rsid w:val="001E4AB3"/>
    <w:rsid w:val="001E4C7D"/>
    <w:rsid w:val="001E5A74"/>
    <w:rsid w:val="001E5F76"/>
    <w:rsid w:val="001F2A32"/>
    <w:rsid w:val="001F3BBC"/>
    <w:rsid w:val="002044BA"/>
    <w:rsid w:val="00204AF8"/>
    <w:rsid w:val="00205E7F"/>
    <w:rsid w:val="00207730"/>
    <w:rsid w:val="0021057C"/>
    <w:rsid w:val="0021138B"/>
    <w:rsid w:val="00211F30"/>
    <w:rsid w:val="0021539B"/>
    <w:rsid w:val="002206AE"/>
    <w:rsid w:val="0022728A"/>
    <w:rsid w:val="00237397"/>
    <w:rsid w:val="00237772"/>
    <w:rsid w:val="00240A63"/>
    <w:rsid w:val="002627AF"/>
    <w:rsid w:val="002652A4"/>
    <w:rsid w:val="00270D54"/>
    <w:rsid w:val="00275D06"/>
    <w:rsid w:val="00281A0E"/>
    <w:rsid w:val="00286583"/>
    <w:rsid w:val="00287D84"/>
    <w:rsid w:val="00296B05"/>
    <w:rsid w:val="00297F4E"/>
    <w:rsid w:val="002A29E5"/>
    <w:rsid w:val="002A3CDD"/>
    <w:rsid w:val="002B4D39"/>
    <w:rsid w:val="002B7714"/>
    <w:rsid w:val="002B7CCA"/>
    <w:rsid w:val="002C38F7"/>
    <w:rsid w:val="002C5979"/>
    <w:rsid w:val="002C7121"/>
    <w:rsid w:val="002D31F2"/>
    <w:rsid w:val="002D412D"/>
    <w:rsid w:val="002D6D0B"/>
    <w:rsid w:val="002D7B61"/>
    <w:rsid w:val="002E18B6"/>
    <w:rsid w:val="002E21C0"/>
    <w:rsid w:val="002E7373"/>
    <w:rsid w:val="00300571"/>
    <w:rsid w:val="00300FA4"/>
    <w:rsid w:val="00303D53"/>
    <w:rsid w:val="00314883"/>
    <w:rsid w:val="00314A4E"/>
    <w:rsid w:val="00316396"/>
    <w:rsid w:val="0033130B"/>
    <w:rsid w:val="003318D7"/>
    <w:rsid w:val="003364A7"/>
    <w:rsid w:val="00336D70"/>
    <w:rsid w:val="0034540E"/>
    <w:rsid w:val="00350977"/>
    <w:rsid w:val="003516FE"/>
    <w:rsid w:val="003532B9"/>
    <w:rsid w:val="003538F7"/>
    <w:rsid w:val="00361B96"/>
    <w:rsid w:val="00364A2A"/>
    <w:rsid w:val="00364E0D"/>
    <w:rsid w:val="00365B0B"/>
    <w:rsid w:val="003723CB"/>
    <w:rsid w:val="00373B85"/>
    <w:rsid w:val="00373BBF"/>
    <w:rsid w:val="003776E9"/>
    <w:rsid w:val="003813C1"/>
    <w:rsid w:val="0038764A"/>
    <w:rsid w:val="003910CA"/>
    <w:rsid w:val="003921CE"/>
    <w:rsid w:val="00397048"/>
    <w:rsid w:val="003A1B56"/>
    <w:rsid w:val="003A4B33"/>
    <w:rsid w:val="003A5AF8"/>
    <w:rsid w:val="003B00B8"/>
    <w:rsid w:val="003B1257"/>
    <w:rsid w:val="003B1ADE"/>
    <w:rsid w:val="003C3A95"/>
    <w:rsid w:val="003C70A8"/>
    <w:rsid w:val="003C7D5D"/>
    <w:rsid w:val="003E2680"/>
    <w:rsid w:val="003E682C"/>
    <w:rsid w:val="00400EC9"/>
    <w:rsid w:val="00401CB2"/>
    <w:rsid w:val="0040537D"/>
    <w:rsid w:val="00406495"/>
    <w:rsid w:val="00410201"/>
    <w:rsid w:val="004132B2"/>
    <w:rsid w:val="00413724"/>
    <w:rsid w:val="004178E8"/>
    <w:rsid w:val="00422A22"/>
    <w:rsid w:val="0042642C"/>
    <w:rsid w:val="004379B4"/>
    <w:rsid w:val="0044064F"/>
    <w:rsid w:val="00440791"/>
    <w:rsid w:val="00440A9C"/>
    <w:rsid w:val="00447095"/>
    <w:rsid w:val="004552B2"/>
    <w:rsid w:val="00455C6B"/>
    <w:rsid w:val="00462D3D"/>
    <w:rsid w:val="00462F50"/>
    <w:rsid w:val="0047195D"/>
    <w:rsid w:val="0047477F"/>
    <w:rsid w:val="00475A41"/>
    <w:rsid w:val="00494E1B"/>
    <w:rsid w:val="004A7362"/>
    <w:rsid w:val="004B022D"/>
    <w:rsid w:val="004B0E7E"/>
    <w:rsid w:val="004C008F"/>
    <w:rsid w:val="004C3C82"/>
    <w:rsid w:val="004D71E1"/>
    <w:rsid w:val="004E194B"/>
    <w:rsid w:val="004F413D"/>
    <w:rsid w:val="004F4E8F"/>
    <w:rsid w:val="004F7346"/>
    <w:rsid w:val="00500418"/>
    <w:rsid w:val="005031E8"/>
    <w:rsid w:val="00504286"/>
    <w:rsid w:val="00504EE7"/>
    <w:rsid w:val="00505357"/>
    <w:rsid w:val="00505DA4"/>
    <w:rsid w:val="00505DB3"/>
    <w:rsid w:val="00510276"/>
    <w:rsid w:val="00515111"/>
    <w:rsid w:val="00515B4E"/>
    <w:rsid w:val="00517A1B"/>
    <w:rsid w:val="00522EF4"/>
    <w:rsid w:val="00527F34"/>
    <w:rsid w:val="00536A6A"/>
    <w:rsid w:val="00541D7E"/>
    <w:rsid w:val="00542D61"/>
    <w:rsid w:val="00542E04"/>
    <w:rsid w:val="00555AA4"/>
    <w:rsid w:val="00557A35"/>
    <w:rsid w:val="005617D4"/>
    <w:rsid w:val="00564925"/>
    <w:rsid w:val="00571EDB"/>
    <w:rsid w:val="00574308"/>
    <w:rsid w:val="00585BAF"/>
    <w:rsid w:val="00594838"/>
    <w:rsid w:val="00596207"/>
    <w:rsid w:val="00596C0C"/>
    <w:rsid w:val="005A0272"/>
    <w:rsid w:val="005A1F3B"/>
    <w:rsid w:val="005A454D"/>
    <w:rsid w:val="005A739C"/>
    <w:rsid w:val="005B1EF1"/>
    <w:rsid w:val="005B2005"/>
    <w:rsid w:val="005B2A72"/>
    <w:rsid w:val="005B504C"/>
    <w:rsid w:val="005B509B"/>
    <w:rsid w:val="005B6D0E"/>
    <w:rsid w:val="005C24DD"/>
    <w:rsid w:val="005D10B0"/>
    <w:rsid w:val="005D2044"/>
    <w:rsid w:val="005D5D2A"/>
    <w:rsid w:val="005D765F"/>
    <w:rsid w:val="005D78AD"/>
    <w:rsid w:val="005E25FD"/>
    <w:rsid w:val="005E2F31"/>
    <w:rsid w:val="005E4333"/>
    <w:rsid w:val="005E6AC5"/>
    <w:rsid w:val="005F0EA3"/>
    <w:rsid w:val="00600697"/>
    <w:rsid w:val="006101C0"/>
    <w:rsid w:val="00610A56"/>
    <w:rsid w:val="006210A8"/>
    <w:rsid w:val="0062259B"/>
    <w:rsid w:val="00624C5F"/>
    <w:rsid w:val="00625AD8"/>
    <w:rsid w:val="00627EC9"/>
    <w:rsid w:val="00634E69"/>
    <w:rsid w:val="00635D45"/>
    <w:rsid w:val="00640646"/>
    <w:rsid w:val="00651CE7"/>
    <w:rsid w:val="00651F01"/>
    <w:rsid w:val="00652573"/>
    <w:rsid w:val="00652ACD"/>
    <w:rsid w:val="00655939"/>
    <w:rsid w:val="00657CD1"/>
    <w:rsid w:val="0066024F"/>
    <w:rsid w:val="00660829"/>
    <w:rsid w:val="006625BC"/>
    <w:rsid w:val="00663412"/>
    <w:rsid w:val="006642E5"/>
    <w:rsid w:val="00666262"/>
    <w:rsid w:val="0067022F"/>
    <w:rsid w:val="00672036"/>
    <w:rsid w:val="00672763"/>
    <w:rsid w:val="0067621C"/>
    <w:rsid w:val="00684F79"/>
    <w:rsid w:val="00691003"/>
    <w:rsid w:val="00693644"/>
    <w:rsid w:val="0069439F"/>
    <w:rsid w:val="006B162C"/>
    <w:rsid w:val="006B50DF"/>
    <w:rsid w:val="006B612F"/>
    <w:rsid w:val="006C1DA2"/>
    <w:rsid w:val="006C1FBA"/>
    <w:rsid w:val="006C4809"/>
    <w:rsid w:val="006C4A68"/>
    <w:rsid w:val="006C53F5"/>
    <w:rsid w:val="006C753A"/>
    <w:rsid w:val="006D4716"/>
    <w:rsid w:val="006D79AA"/>
    <w:rsid w:val="006E53FE"/>
    <w:rsid w:val="006E6F5B"/>
    <w:rsid w:val="006E72DA"/>
    <w:rsid w:val="006F24DA"/>
    <w:rsid w:val="006F6BB0"/>
    <w:rsid w:val="00706119"/>
    <w:rsid w:val="00714F4E"/>
    <w:rsid w:val="00715096"/>
    <w:rsid w:val="00715A29"/>
    <w:rsid w:val="00716152"/>
    <w:rsid w:val="00716753"/>
    <w:rsid w:val="00723C9D"/>
    <w:rsid w:val="00725FF9"/>
    <w:rsid w:val="0073210A"/>
    <w:rsid w:val="00736E52"/>
    <w:rsid w:val="00743A16"/>
    <w:rsid w:val="00751462"/>
    <w:rsid w:val="00751FA3"/>
    <w:rsid w:val="007540EA"/>
    <w:rsid w:val="00757D4B"/>
    <w:rsid w:val="00760548"/>
    <w:rsid w:val="007613CD"/>
    <w:rsid w:val="00763F07"/>
    <w:rsid w:val="00767299"/>
    <w:rsid w:val="00767CBE"/>
    <w:rsid w:val="00775EAB"/>
    <w:rsid w:val="00776D0E"/>
    <w:rsid w:val="00782037"/>
    <w:rsid w:val="00784292"/>
    <w:rsid w:val="00791469"/>
    <w:rsid w:val="007930BE"/>
    <w:rsid w:val="0079353D"/>
    <w:rsid w:val="00796119"/>
    <w:rsid w:val="007A0FB5"/>
    <w:rsid w:val="007A30EB"/>
    <w:rsid w:val="007A6802"/>
    <w:rsid w:val="007A6B9A"/>
    <w:rsid w:val="007B0928"/>
    <w:rsid w:val="007B2D91"/>
    <w:rsid w:val="007B69B8"/>
    <w:rsid w:val="007C2C68"/>
    <w:rsid w:val="007C336B"/>
    <w:rsid w:val="007C33FB"/>
    <w:rsid w:val="007C453F"/>
    <w:rsid w:val="007C7F6C"/>
    <w:rsid w:val="007D79B4"/>
    <w:rsid w:val="007E025E"/>
    <w:rsid w:val="007E1788"/>
    <w:rsid w:val="007E2441"/>
    <w:rsid w:val="007E31FA"/>
    <w:rsid w:val="007E76E8"/>
    <w:rsid w:val="007F1160"/>
    <w:rsid w:val="00801034"/>
    <w:rsid w:val="00807BC8"/>
    <w:rsid w:val="00811655"/>
    <w:rsid w:val="00813732"/>
    <w:rsid w:val="00823C9F"/>
    <w:rsid w:val="00823D77"/>
    <w:rsid w:val="00824B2B"/>
    <w:rsid w:val="008261EA"/>
    <w:rsid w:val="00835AB2"/>
    <w:rsid w:val="00835F35"/>
    <w:rsid w:val="0083703A"/>
    <w:rsid w:val="00856623"/>
    <w:rsid w:val="00856FB3"/>
    <w:rsid w:val="00857C28"/>
    <w:rsid w:val="008608DB"/>
    <w:rsid w:val="008621D4"/>
    <w:rsid w:val="00864A6E"/>
    <w:rsid w:val="0087674B"/>
    <w:rsid w:val="0087704F"/>
    <w:rsid w:val="00877DC8"/>
    <w:rsid w:val="00881E00"/>
    <w:rsid w:val="0088756E"/>
    <w:rsid w:val="00890F91"/>
    <w:rsid w:val="00893616"/>
    <w:rsid w:val="00895705"/>
    <w:rsid w:val="008A29B3"/>
    <w:rsid w:val="008A3CE4"/>
    <w:rsid w:val="008A5F60"/>
    <w:rsid w:val="008B687B"/>
    <w:rsid w:val="008B70C0"/>
    <w:rsid w:val="008C71F6"/>
    <w:rsid w:val="008D3D8E"/>
    <w:rsid w:val="008D4307"/>
    <w:rsid w:val="008D5144"/>
    <w:rsid w:val="008E0156"/>
    <w:rsid w:val="008E04A6"/>
    <w:rsid w:val="008E2BD4"/>
    <w:rsid w:val="008F08EF"/>
    <w:rsid w:val="008F11EF"/>
    <w:rsid w:val="00900CC6"/>
    <w:rsid w:val="00902D88"/>
    <w:rsid w:val="009128AE"/>
    <w:rsid w:val="00916B0C"/>
    <w:rsid w:val="0092037A"/>
    <w:rsid w:val="00924683"/>
    <w:rsid w:val="0093061B"/>
    <w:rsid w:val="00933909"/>
    <w:rsid w:val="00935D23"/>
    <w:rsid w:val="00940563"/>
    <w:rsid w:val="00942993"/>
    <w:rsid w:val="00945F01"/>
    <w:rsid w:val="00950400"/>
    <w:rsid w:val="00953C7B"/>
    <w:rsid w:val="00957547"/>
    <w:rsid w:val="00957B8A"/>
    <w:rsid w:val="00957EA1"/>
    <w:rsid w:val="009615E9"/>
    <w:rsid w:val="00961CAE"/>
    <w:rsid w:val="0096413E"/>
    <w:rsid w:val="009659B8"/>
    <w:rsid w:val="0097311A"/>
    <w:rsid w:val="0097428B"/>
    <w:rsid w:val="0097622E"/>
    <w:rsid w:val="00980859"/>
    <w:rsid w:val="00982169"/>
    <w:rsid w:val="0098345D"/>
    <w:rsid w:val="00983FBD"/>
    <w:rsid w:val="0098513E"/>
    <w:rsid w:val="009862DA"/>
    <w:rsid w:val="00993EB3"/>
    <w:rsid w:val="009941C3"/>
    <w:rsid w:val="009A50C6"/>
    <w:rsid w:val="009B05E0"/>
    <w:rsid w:val="009B159C"/>
    <w:rsid w:val="009C0C56"/>
    <w:rsid w:val="009D22CF"/>
    <w:rsid w:val="009D2F99"/>
    <w:rsid w:val="009D4E0F"/>
    <w:rsid w:val="009D6AE8"/>
    <w:rsid w:val="009D7BBB"/>
    <w:rsid w:val="009E1186"/>
    <w:rsid w:val="009E44E3"/>
    <w:rsid w:val="009F08EA"/>
    <w:rsid w:val="009F5E6D"/>
    <w:rsid w:val="00A005BA"/>
    <w:rsid w:val="00A024C7"/>
    <w:rsid w:val="00A053BF"/>
    <w:rsid w:val="00A065F7"/>
    <w:rsid w:val="00A245D2"/>
    <w:rsid w:val="00A31D86"/>
    <w:rsid w:val="00A34932"/>
    <w:rsid w:val="00A37C6D"/>
    <w:rsid w:val="00A43923"/>
    <w:rsid w:val="00A46BE2"/>
    <w:rsid w:val="00A53981"/>
    <w:rsid w:val="00A5412D"/>
    <w:rsid w:val="00A60A9E"/>
    <w:rsid w:val="00A62E59"/>
    <w:rsid w:val="00A65F14"/>
    <w:rsid w:val="00A71D76"/>
    <w:rsid w:val="00A71F4E"/>
    <w:rsid w:val="00A72863"/>
    <w:rsid w:val="00A72CD5"/>
    <w:rsid w:val="00A75B36"/>
    <w:rsid w:val="00A75DFE"/>
    <w:rsid w:val="00A76E4B"/>
    <w:rsid w:val="00A77D17"/>
    <w:rsid w:val="00A80A20"/>
    <w:rsid w:val="00A86929"/>
    <w:rsid w:val="00A9073F"/>
    <w:rsid w:val="00A935CD"/>
    <w:rsid w:val="00A9759E"/>
    <w:rsid w:val="00AA511B"/>
    <w:rsid w:val="00AB0851"/>
    <w:rsid w:val="00AB08C0"/>
    <w:rsid w:val="00AB17DB"/>
    <w:rsid w:val="00AB2FA5"/>
    <w:rsid w:val="00AB3E9E"/>
    <w:rsid w:val="00AB677A"/>
    <w:rsid w:val="00AB6E3F"/>
    <w:rsid w:val="00AC2F9D"/>
    <w:rsid w:val="00AC688A"/>
    <w:rsid w:val="00AD3AC9"/>
    <w:rsid w:val="00AE1CFF"/>
    <w:rsid w:val="00AF3DB0"/>
    <w:rsid w:val="00AF43DD"/>
    <w:rsid w:val="00B01202"/>
    <w:rsid w:val="00B01640"/>
    <w:rsid w:val="00B01C99"/>
    <w:rsid w:val="00B03C45"/>
    <w:rsid w:val="00B04BE7"/>
    <w:rsid w:val="00B114D3"/>
    <w:rsid w:val="00B146B0"/>
    <w:rsid w:val="00B150B7"/>
    <w:rsid w:val="00B204B7"/>
    <w:rsid w:val="00B24884"/>
    <w:rsid w:val="00B24BAC"/>
    <w:rsid w:val="00B26FA7"/>
    <w:rsid w:val="00B271AC"/>
    <w:rsid w:val="00B3277E"/>
    <w:rsid w:val="00B3695B"/>
    <w:rsid w:val="00B44A19"/>
    <w:rsid w:val="00B458AE"/>
    <w:rsid w:val="00B508C1"/>
    <w:rsid w:val="00B520B4"/>
    <w:rsid w:val="00B55B34"/>
    <w:rsid w:val="00B60DC6"/>
    <w:rsid w:val="00B6299C"/>
    <w:rsid w:val="00B63E63"/>
    <w:rsid w:val="00B81B19"/>
    <w:rsid w:val="00B81C11"/>
    <w:rsid w:val="00B81DA2"/>
    <w:rsid w:val="00B85E32"/>
    <w:rsid w:val="00B87D8A"/>
    <w:rsid w:val="00B929B9"/>
    <w:rsid w:val="00BA3A26"/>
    <w:rsid w:val="00BA6EBD"/>
    <w:rsid w:val="00BB1041"/>
    <w:rsid w:val="00BB5B76"/>
    <w:rsid w:val="00BC506C"/>
    <w:rsid w:val="00BD16CA"/>
    <w:rsid w:val="00BD1F51"/>
    <w:rsid w:val="00BD52D1"/>
    <w:rsid w:val="00BD7F4C"/>
    <w:rsid w:val="00BE1A5E"/>
    <w:rsid w:val="00BF00FF"/>
    <w:rsid w:val="00BF30DC"/>
    <w:rsid w:val="00BF4017"/>
    <w:rsid w:val="00BF63BD"/>
    <w:rsid w:val="00C00DC0"/>
    <w:rsid w:val="00C0392B"/>
    <w:rsid w:val="00C05AF0"/>
    <w:rsid w:val="00C05F9D"/>
    <w:rsid w:val="00C0726C"/>
    <w:rsid w:val="00C2428B"/>
    <w:rsid w:val="00C2519E"/>
    <w:rsid w:val="00C323C5"/>
    <w:rsid w:val="00C32CEA"/>
    <w:rsid w:val="00C332A7"/>
    <w:rsid w:val="00C34036"/>
    <w:rsid w:val="00C47CE2"/>
    <w:rsid w:val="00C524F8"/>
    <w:rsid w:val="00C54302"/>
    <w:rsid w:val="00C55D91"/>
    <w:rsid w:val="00C55E2C"/>
    <w:rsid w:val="00C57137"/>
    <w:rsid w:val="00C57E71"/>
    <w:rsid w:val="00C60F82"/>
    <w:rsid w:val="00C61A78"/>
    <w:rsid w:val="00C627BE"/>
    <w:rsid w:val="00C62A2A"/>
    <w:rsid w:val="00C6533C"/>
    <w:rsid w:val="00C6591C"/>
    <w:rsid w:val="00C65DEC"/>
    <w:rsid w:val="00C66EF9"/>
    <w:rsid w:val="00C72D89"/>
    <w:rsid w:val="00C75088"/>
    <w:rsid w:val="00C8278F"/>
    <w:rsid w:val="00C84CDB"/>
    <w:rsid w:val="00C92F11"/>
    <w:rsid w:val="00C943A0"/>
    <w:rsid w:val="00C94828"/>
    <w:rsid w:val="00C96DE6"/>
    <w:rsid w:val="00CA3B31"/>
    <w:rsid w:val="00CA74C3"/>
    <w:rsid w:val="00CC0F68"/>
    <w:rsid w:val="00CC71B9"/>
    <w:rsid w:val="00CD0BF7"/>
    <w:rsid w:val="00CD344A"/>
    <w:rsid w:val="00CE424B"/>
    <w:rsid w:val="00CE4B6D"/>
    <w:rsid w:val="00CE56B1"/>
    <w:rsid w:val="00CF10A7"/>
    <w:rsid w:val="00D0344C"/>
    <w:rsid w:val="00D06A29"/>
    <w:rsid w:val="00D11E0E"/>
    <w:rsid w:val="00D13610"/>
    <w:rsid w:val="00D20B4D"/>
    <w:rsid w:val="00D22C93"/>
    <w:rsid w:val="00D25045"/>
    <w:rsid w:val="00D31FA9"/>
    <w:rsid w:val="00D33EFE"/>
    <w:rsid w:val="00D34117"/>
    <w:rsid w:val="00D369F9"/>
    <w:rsid w:val="00D414C1"/>
    <w:rsid w:val="00D459A4"/>
    <w:rsid w:val="00D476D4"/>
    <w:rsid w:val="00D5030A"/>
    <w:rsid w:val="00D52AF2"/>
    <w:rsid w:val="00D56B82"/>
    <w:rsid w:val="00D70F41"/>
    <w:rsid w:val="00D91749"/>
    <w:rsid w:val="00D95DB8"/>
    <w:rsid w:val="00D9762A"/>
    <w:rsid w:val="00DA39E8"/>
    <w:rsid w:val="00DA6AB1"/>
    <w:rsid w:val="00DA6CCE"/>
    <w:rsid w:val="00DB38DA"/>
    <w:rsid w:val="00DB496C"/>
    <w:rsid w:val="00DC176D"/>
    <w:rsid w:val="00DC52E1"/>
    <w:rsid w:val="00DC5C9F"/>
    <w:rsid w:val="00DC671E"/>
    <w:rsid w:val="00DD2D88"/>
    <w:rsid w:val="00DD2DD6"/>
    <w:rsid w:val="00DD46B5"/>
    <w:rsid w:val="00DD4D14"/>
    <w:rsid w:val="00DD67B0"/>
    <w:rsid w:val="00DE3458"/>
    <w:rsid w:val="00DF1B1F"/>
    <w:rsid w:val="00DF1F42"/>
    <w:rsid w:val="00DF552F"/>
    <w:rsid w:val="00E01BCA"/>
    <w:rsid w:val="00E072AF"/>
    <w:rsid w:val="00E1064E"/>
    <w:rsid w:val="00E10FD9"/>
    <w:rsid w:val="00E13038"/>
    <w:rsid w:val="00E15EBB"/>
    <w:rsid w:val="00E160C1"/>
    <w:rsid w:val="00E333F4"/>
    <w:rsid w:val="00E33A8E"/>
    <w:rsid w:val="00E365A4"/>
    <w:rsid w:val="00E4365F"/>
    <w:rsid w:val="00E43EA1"/>
    <w:rsid w:val="00E46FF9"/>
    <w:rsid w:val="00E514C7"/>
    <w:rsid w:val="00E56DB0"/>
    <w:rsid w:val="00E60601"/>
    <w:rsid w:val="00E6226F"/>
    <w:rsid w:val="00E70076"/>
    <w:rsid w:val="00E70165"/>
    <w:rsid w:val="00E7213A"/>
    <w:rsid w:val="00E722C6"/>
    <w:rsid w:val="00E7256E"/>
    <w:rsid w:val="00E74318"/>
    <w:rsid w:val="00E7622E"/>
    <w:rsid w:val="00E80678"/>
    <w:rsid w:val="00E81949"/>
    <w:rsid w:val="00E9455C"/>
    <w:rsid w:val="00EA2674"/>
    <w:rsid w:val="00EA4852"/>
    <w:rsid w:val="00EB218D"/>
    <w:rsid w:val="00EB2E85"/>
    <w:rsid w:val="00EB46E3"/>
    <w:rsid w:val="00EC2BE1"/>
    <w:rsid w:val="00EC6029"/>
    <w:rsid w:val="00EC7BA1"/>
    <w:rsid w:val="00ED03B8"/>
    <w:rsid w:val="00ED2683"/>
    <w:rsid w:val="00ED27B0"/>
    <w:rsid w:val="00ED6D8E"/>
    <w:rsid w:val="00ED7231"/>
    <w:rsid w:val="00ED73D5"/>
    <w:rsid w:val="00EE219E"/>
    <w:rsid w:val="00EF22F9"/>
    <w:rsid w:val="00EF4A85"/>
    <w:rsid w:val="00EF7DB9"/>
    <w:rsid w:val="00F01A56"/>
    <w:rsid w:val="00F072A0"/>
    <w:rsid w:val="00F14A60"/>
    <w:rsid w:val="00F14FB6"/>
    <w:rsid w:val="00F15F75"/>
    <w:rsid w:val="00F16A1B"/>
    <w:rsid w:val="00F17B0E"/>
    <w:rsid w:val="00F2126E"/>
    <w:rsid w:val="00F21F7A"/>
    <w:rsid w:val="00F2383F"/>
    <w:rsid w:val="00F26E44"/>
    <w:rsid w:val="00F32E04"/>
    <w:rsid w:val="00F33F84"/>
    <w:rsid w:val="00F37681"/>
    <w:rsid w:val="00F376F7"/>
    <w:rsid w:val="00F41039"/>
    <w:rsid w:val="00F411FB"/>
    <w:rsid w:val="00F41DC8"/>
    <w:rsid w:val="00F41FA9"/>
    <w:rsid w:val="00F431BE"/>
    <w:rsid w:val="00F43B4D"/>
    <w:rsid w:val="00F46DBA"/>
    <w:rsid w:val="00F47751"/>
    <w:rsid w:val="00F509F4"/>
    <w:rsid w:val="00F56396"/>
    <w:rsid w:val="00F629FD"/>
    <w:rsid w:val="00F71940"/>
    <w:rsid w:val="00F80A69"/>
    <w:rsid w:val="00F81D38"/>
    <w:rsid w:val="00F87081"/>
    <w:rsid w:val="00F91A1E"/>
    <w:rsid w:val="00F94193"/>
    <w:rsid w:val="00F945ED"/>
    <w:rsid w:val="00FA1FF2"/>
    <w:rsid w:val="00FA5E06"/>
    <w:rsid w:val="00FA5E40"/>
    <w:rsid w:val="00FB561F"/>
    <w:rsid w:val="00FC57E2"/>
    <w:rsid w:val="00FC5C22"/>
    <w:rsid w:val="00FC65BD"/>
    <w:rsid w:val="00FD1A9E"/>
    <w:rsid w:val="00FD270D"/>
    <w:rsid w:val="00FD3471"/>
    <w:rsid w:val="00FD7124"/>
    <w:rsid w:val="00FE05B2"/>
    <w:rsid w:val="00FE2D32"/>
    <w:rsid w:val="00FE4703"/>
    <w:rsid w:val="00FE614E"/>
    <w:rsid w:val="00FF2E38"/>
    <w:rsid w:val="00FF47CC"/>
    <w:rsid w:val="00FF551C"/>
    <w:rsid w:val="01437C9C"/>
    <w:rsid w:val="023B259E"/>
    <w:rsid w:val="06260F0D"/>
    <w:rsid w:val="097B1ADC"/>
    <w:rsid w:val="09BF341F"/>
    <w:rsid w:val="0C7930E7"/>
    <w:rsid w:val="0E5E4941"/>
    <w:rsid w:val="11E64292"/>
    <w:rsid w:val="12103504"/>
    <w:rsid w:val="154E2F47"/>
    <w:rsid w:val="16540469"/>
    <w:rsid w:val="16A914DF"/>
    <w:rsid w:val="171B4FA5"/>
    <w:rsid w:val="175759BD"/>
    <w:rsid w:val="180778BA"/>
    <w:rsid w:val="182C395A"/>
    <w:rsid w:val="18D94137"/>
    <w:rsid w:val="19152F02"/>
    <w:rsid w:val="1921046B"/>
    <w:rsid w:val="19257F5C"/>
    <w:rsid w:val="1BF20BAA"/>
    <w:rsid w:val="20A774A8"/>
    <w:rsid w:val="21E4166A"/>
    <w:rsid w:val="22D8647E"/>
    <w:rsid w:val="232224CD"/>
    <w:rsid w:val="249F6523"/>
    <w:rsid w:val="255E401F"/>
    <w:rsid w:val="26452677"/>
    <w:rsid w:val="29A01B46"/>
    <w:rsid w:val="2C464749"/>
    <w:rsid w:val="2D0F1E53"/>
    <w:rsid w:val="2E127B70"/>
    <w:rsid w:val="2ED326F7"/>
    <w:rsid w:val="2F4C4997"/>
    <w:rsid w:val="2FB2417E"/>
    <w:rsid w:val="32E4458C"/>
    <w:rsid w:val="331344B7"/>
    <w:rsid w:val="33704A15"/>
    <w:rsid w:val="351D1FD7"/>
    <w:rsid w:val="36564909"/>
    <w:rsid w:val="3848042D"/>
    <w:rsid w:val="3A103DEB"/>
    <w:rsid w:val="3A1322EE"/>
    <w:rsid w:val="3BBD3DE9"/>
    <w:rsid w:val="3C95003D"/>
    <w:rsid w:val="3D152BBC"/>
    <w:rsid w:val="3DA3692C"/>
    <w:rsid w:val="3E384FAC"/>
    <w:rsid w:val="3E3E1245"/>
    <w:rsid w:val="3EDC504D"/>
    <w:rsid w:val="3FE62FFD"/>
    <w:rsid w:val="3FEA361E"/>
    <w:rsid w:val="424F793C"/>
    <w:rsid w:val="4359242C"/>
    <w:rsid w:val="45406233"/>
    <w:rsid w:val="462A2B3F"/>
    <w:rsid w:val="48CE7418"/>
    <w:rsid w:val="49D822B4"/>
    <w:rsid w:val="4ACD1AF6"/>
    <w:rsid w:val="4B46598C"/>
    <w:rsid w:val="4B76673D"/>
    <w:rsid w:val="4BB9615E"/>
    <w:rsid w:val="4C8C5620"/>
    <w:rsid w:val="507A21A5"/>
    <w:rsid w:val="50EE4AFC"/>
    <w:rsid w:val="5191035A"/>
    <w:rsid w:val="523E3F42"/>
    <w:rsid w:val="53B57CDA"/>
    <w:rsid w:val="560D77BF"/>
    <w:rsid w:val="56D70DC4"/>
    <w:rsid w:val="58FE1D5D"/>
    <w:rsid w:val="5AA61FA3"/>
    <w:rsid w:val="5AD27F22"/>
    <w:rsid w:val="5C390BF5"/>
    <w:rsid w:val="5CCE357C"/>
    <w:rsid w:val="5DC82230"/>
    <w:rsid w:val="5F537320"/>
    <w:rsid w:val="5F907DB5"/>
    <w:rsid w:val="5FF7115F"/>
    <w:rsid w:val="604B0929"/>
    <w:rsid w:val="62E31E6F"/>
    <w:rsid w:val="63342979"/>
    <w:rsid w:val="64C5741F"/>
    <w:rsid w:val="658978B4"/>
    <w:rsid w:val="65F26A47"/>
    <w:rsid w:val="67750D56"/>
    <w:rsid w:val="68152516"/>
    <w:rsid w:val="68C50F0B"/>
    <w:rsid w:val="69644D24"/>
    <w:rsid w:val="69871FE2"/>
    <w:rsid w:val="69C64B5A"/>
    <w:rsid w:val="6BC04225"/>
    <w:rsid w:val="6C1C19CB"/>
    <w:rsid w:val="6C8044AD"/>
    <w:rsid w:val="6DC956BA"/>
    <w:rsid w:val="6DF02BE9"/>
    <w:rsid w:val="6EA6211A"/>
    <w:rsid w:val="6F253303"/>
    <w:rsid w:val="71242D64"/>
    <w:rsid w:val="72892D90"/>
    <w:rsid w:val="72AA7CFF"/>
    <w:rsid w:val="72C05517"/>
    <w:rsid w:val="73C63B14"/>
    <w:rsid w:val="74343D24"/>
    <w:rsid w:val="745F1A7B"/>
    <w:rsid w:val="74CF60EB"/>
    <w:rsid w:val="753D136B"/>
    <w:rsid w:val="756338A7"/>
    <w:rsid w:val="76FA4643"/>
    <w:rsid w:val="78396CD3"/>
    <w:rsid w:val="798B2638"/>
    <w:rsid w:val="79F71A7C"/>
    <w:rsid w:val="7AF64006"/>
    <w:rsid w:val="7AFDAB09"/>
    <w:rsid w:val="7D9D7924"/>
    <w:rsid w:val="7DDECC4F"/>
    <w:rsid w:val="7F5B3843"/>
    <w:rsid w:val="7F9F256C"/>
    <w:rsid w:val="B97FB961"/>
    <w:rsid w:val="DE6D2DE6"/>
    <w:rsid w:val="DFEA32A3"/>
    <w:rsid w:val="F6BED998"/>
    <w:rsid w:val="FB561B91"/>
    <w:rsid w:val="FEDD063A"/>
    <w:rsid w:val="FFF92F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iPriority="99" w:name="footnote text"/>
    <w:lsdException w:qFormat="1"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qFormat="1" w:uiPriority="99" w:semiHidden="0" w:name="footnote reference"/>
    <w:lsdException w:qFormat="1"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qFormat="1" w:uiPriority="99" w:name="Body Text First Indent"/>
    <w:lsdException w:qFormat="1" w:uiPriority="99" w:semiHidden="0" w:name="Body Text First Indent 2"/>
    <w:lsdException w:uiPriority="0" w:name="Note Heading"/>
    <w:lsdException w:uiPriority="0" w:name="Body Text 2"/>
    <w:lsdException w:uiPriority="0" w:name="Body Text 3"/>
    <w:lsdException w:uiPriority="0" w:name="Body Text Indent 2"/>
    <w:lsdException w:qFormat="1" w:unhideWhenUsed="0" w:uiPriority="0" w:semiHidden="0" w:name="Body Text Indent 3"/>
    <w:lsdException w:uiPriority="0"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2"/>
      <w:lang w:val="en-US" w:eastAsia="zh-CN" w:bidi="ar-SA"/>
    </w:rPr>
  </w:style>
  <w:style w:type="paragraph" w:styleId="2">
    <w:name w:val="heading 1"/>
    <w:basedOn w:val="1"/>
    <w:next w:val="1"/>
    <w:qFormat/>
    <w:uiPriority w:val="9"/>
    <w:pPr>
      <w:keepNext/>
      <w:keepLines/>
      <w:spacing w:before="340" w:after="330" w:line="576" w:lineRule="auto"/>
      <w:outlineLvl w:val="0"/>
    </w:pPr>
    <w:rPr>
      <w:b/>
      <w:kern w:val="44"/>
      <w:sz w:val="44"/>
    </w:rPr>
  </w:style>
  <w:style w:type="paragraph" w:styleId="3">
    <w:name w:val="heading 2"/>
    <w:basedOn w:val="1"/>
    <w:next w:val="1"/>
    <w:unhideWhenUsed/>
    <w:qFormat/>
    <w:uiPriority w:val="0"/>
    <w:pPr>
      <w:keepNext/>
      <w:keepLines/>
      <w:spacing w:line="300" w:lineRule="auto"/>
      <w:ind w:firstLine="1446" w:firstLineChars="200"/>
      <w:jc w:val="left"/>
      <w:outlineLvl w:val="1"/>
    </w:pPr>
    <w:rPr>
      <w:rFonts w:asciiTheme="majorHAnsi" w:hAnsiTheme="majorHAnsi" w:cstheme="majorBidi"/>
      <w:b/>
      <w:bCs/>
      <w:sz w:val="24"/>
      <w:szCs w:val="32"/>
    </w:rPr>
  </w:style>
  <w:style w:type="paragraph" w:styleId="4">
    <w:name w:val="heading 3"/>
    <w:basedOn w:val="1"/>
    <w:next w:val="1"/>
    <w:qFormat/>
    <w:uiPriority w:val="0"/>
    <w:pPr>
      <w:keepNext/>
      <w:keepLines/>
      <w:outlineLvl w:val="2"/>
    </w:pPr>
    <w:rPr>
      <w:bCs/>
      <w:szCs w:val="32"/>
    </w:rPr>
  </w:style>
  <w:style w:type="character" w:default="1" w:styleId="21">
    <w:name w:val="Default Paragraph Font"/>
    <w:semiHidden/>
    <w:unhideWhenUsed/>
    <w:uiPriority w:val="1"/>
  </w:style>
  <w:style w:type="table" w:default="1" w:styleId="19">
    <w:name w:val="Normal Table"/>
    <w:semiHidden/>
    <w:unhideWhenUsed/>
    <w:uiPriority w:val="99"/>
    <w:tblPr>
      <w:tblCellMar>
        <w:top w:w="0" w:type="dxa"/>
        <w:left w:w="108" w:type="dxa"/>
        <w:bottom w:w="0" w:type="dxa"/>
        <w:right w:w="108" w:type="dxa"/>
      </w:tblCellMar>
    </w:tblPr>
  </w:style>
  <w:style w:type="paragraph" w:styleId="5">
    <w:name w:val="Normal Indent"/>
    <w:basedOn w:val="1"/>
    <w:qFormat/>
    <w:uiPriority w:val="0"/>
    <w:pPr>
      <w:ind w:firstLine="420"/>
    </w:pPr>
  </w:style>
  <w:style w:type="paragraph" w:styleId="6">
    <w:name w:val="annotation text"/>
    <w:basedOn w:val="1"/>
    <w:link w:val="24"/>
    <w:semiHidden/>
    <w:unhideWhenUsed/>
    <w:qFormat/>
    <w:uiPriority w:val="0"/>
    <w:pPr>
      <w:jc w:val="left"/>
    </w:pPr>
  </w:style>
  <w:style w:type="paragraph" w:styleId="7">
    <w:name w:val="Body Text"/>
    <w:basedOn w:val="1"/>
    <w:qFormat/>
    <w:uiPriority w:val="0"/>
    <w:pPr>
      <w:adjustRightInd w:val="0"/>
      <w:snapToGrid w:val="0"/>
      <w:spacing w:before="150" w:after="150" w:line="264" w:lineRule="auto"/>
      <w:ind w:firstLine="567"/>
    </w:pPr>
    <w:rPr>
      <w:rFonts w:ascii="华文楷体" w:hAnsi="华文楷体" w:eastAsia="LF_Kai"/>
      <w:szCs w:val="20"/>
    </w:rPr>
  </w:style>
  <w:style w:type="paragraph" w:styleId="8">
    <w:name w:val="Body Text Indent"/>
    <w:basedOn w:val="1"/>
    <w:qFormat/>
    <w:uiPriority w:val="0"/>
    <w:pPr>
      <w:ind w:left="105" w:hanging="105"/>
    </w:pPr>
    <w:rPr>
      <w:sz w:val="32"/>
      <w:szCs w:val="32"/>
    </w:rPr>
  </w:style>
  <w:style w:type="paragraph" w:styleId="9">
    <w:name w:val="Balloon Text"/>
    <w:basedOn w:val="1"/>
    <w:link w:val="25"/>
    <w:unhideWhenUsed/>
    <w:qFormat/>
    <w:uiPriority w:val="99"/>
    <w:rPr>
      <w:sz w:val="18"/>
      <w:szCs w:val="18"/>
    </w:rPr>
  </w:style>
  <w:style w:type="paragraph" w:styleId="10">
    <w:name w:val="footer"/>
    <w:basedOn w:val="1"/>
    <w:next w:val="1"/>
    <w:link w:val="26"/>
    <w:unhideWhenUsed/>
    <w:qFormat/>
    <w:uiPriority w:val="99"/>
    <w:pPr>
      <w:tabs>
        <w:tab w:val="center" w:pos="4153"/>
        <w:tab w:val="right" w:pos="8306"/>
      </w:tabs>
      <w:snapToGrid w:val="0"/>
      <w:jc w:val="left"/>
    </w:pPr>
    <w:rPr>
      <w:sz w:val="18"/>
      <w:szCs w:val="18"/>
    </w:rPr>
  </w:style>
  <w:style w:type="paragraph" w:styleId="11">
    <w:name w:val="header"/>
    <w:basedOn w:val="1"/>
    <w:link w:val="27"/>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semiHidden/>
    <w:unhideWhenUsed/>
    <w:qFormat/>
    <w:uiPriority w:val="39"/>
  </w:style>
  <w:style w:type="paragraph" w:styleId="13">
    <w:name w:val="footnote text"/>
    <w:basedOn w:val="1"/>
    <w:link w:val="46"/>
    <w:semiHidden/>
    <w:unhideWhenUsed/>
    <w:qFormat/>
    <w:uiPriority w:val="99"/>
    <w:rPr>
      <w:szCs w:val="20"/>
    </w:rPr>
  </w:style>
  <w:style w:type="paragraph" w:styleId="14">
    <w:name w:val="Body Text Indent 3"/>
    <w:basedOn w:val="1"/>
    <w:link w:val="32"/>
    <w:qFormat/>
    <w:uiPriority w:val="0"/>
    <w:pPr>
      <w:spacing w:after="120"/>
      <w:ind w:left="420" w:leftChars="200"/>
    </w:pPr>
    <w:rPr>
      <w:rFonts w:ascii="Times New Roman" w:hAnsi="Times New Roman" w:eastAsia="宋体"/>
      <w:sz w:val="16"/>
      <w:szCs w:val="20"/>
    </w:rPr>
  </w:style>
  <w:style w:type="paragraph" w:styleId="15">
    <w:name w:val="Normal (Web)"/>
    <w:basedOn w:val="1"/>
    <w:qFormat/>
    <w:uiPriority w:val="0"/>
    <w:pPr>
      <w:spacing w:beforeAutospacing="1" w:afterAutospacing="1"/>
      <w:jc w:val="left"/>
    </w:pPr>
    <w:rPr>
      <w:kern w:val="0"/>
      <w:sz w:val="24"/>
    </w:rPr>
  </w:style>
  <w:style w:type="paragraph" w:styleId="16">
    <w:name w:val="annotation subject"/>
    <w:basedOn w:val="6"/>
    <w:next w:val="6"/>
    <w:link w:val="28"/>
    <w:semiHidden/>
    <w:unhideWhenUsed/>
    <w:qFormat/>
    <w:uiPriority w:val="0"/>
    <w:rPr>
      <w:b/>
      <w:bCs/>
    </w:rPr>
  </w:style>
  <w:style w:type="paragraph" w:styleId="17">
    <w:name w:val="Body Text First Indent"/>
    <w:basedOn w:val="7"/>
    <w:semiHidden/>
    <w:unhideWhenUsed/>
    <w:qFormat/>
    <w:uiPriority w:val="99"/>
    <w:pPr>
      <w:adjustRightInd/>
      <w:snapToGrid/>
      <w:spacing w:before="0" w:after="120" w:line="240" w:lineRule="auto"/>
      <w:ind w:firstLine="420" w:firstLineChars="100"/>
    </w:pPr>
    <w:rPr>
      <w:rFonts w:ascii="Calibri" w:hAnsi="Calibri" w:eastAsia="宋体"/>
    </w:rPr>
  </w:style>
  <w:style w:type="paragraph" w:styleId="18">
    <w:name w:val="Body Text First Indent 2"/>
    <w:basedOn w:val="8"/>
    <w:next w:val="17"/>
    <w:unhideWhenUsed/>
    <w:qFormat/>
    <w:uiPriority w:val="99"/>
    <w:pPr>
      <w:ind w:firstLine="420" w:firstLineChars="200"/>
    </w:p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annotation reference"/>
    <w:semiHidden/>
    <w:unhideWhenUsed/>
    <w:qFormat/>
    <w:uiPriority w:val="0"/>
    <w:rPr>
      <w:sz w:val="21"/>
      <w:szCs w:val="21"/>
    </w:rPr>
  </w:style>
  <w:style w:type="character" w:styleId="23">
    <w:name w:val="footnote reference"/>
    <w:basedOn w:val="21"/>
    <w:unhideWhenUsed/>
    <w:qFormat/>
    <w:uiPriority w:val="99"/>
    <w:rPr>
      <w:vertAlign w:val="superscript"/>
    </w:rPr>
  </w:style>
  <w:style w:type="character" w:customStyle="1" w:styleId="24">
    <w:name w:val="批注文字 字符"/>
    <w:link w:val="6"/>
    <w:semiHidden/>
    <w:qFormat/>
    <w:uiPriority w:val="0"/>
    <w:rPr>
      <w:rFonts w:ascii="等线" w:hAnsi="等线" w:eastAsia="等线"/>
      <w:kern w:val="2"/>
      <w:sz w:val="21"/>
      <w:szCs w:val="22"/>
    </w:rPr>
  </w:style>
  <w:style w:type="character" w:customStyle="1" w:styleId="25">
    <w:name w:val="批注框文本 字符"/>
    <w:link w:val="9"/>
    <w:semiHidden/>
    <w:qFormat/>
    <w:uiPriority w:val="99"/>
    <w:rPr>
      <w:sz w:val="18"/>
      <w:szCs w:val="18"/>
    </w:rPr>
  </w:style>
  <w:style w:type="character" w:customStyle="1" w:styleId="26">
    <w:name w:val="页脚 字符"/>
    <w:link w:val="10"/>
    <w:qFormat/>
    <w:uiPriority w:val="99"/>
    <w:rPr>
      <w:sz w:val="18"/>
      <w:szCs w:val="18"/>
    </w:rPr>
  </w:style>
  <w:style w:type="character" w:customStyle="1" w:styleId="27">
    <w:name w:val="页眉 字符"/>
    <w:link w:val="11"/>
    <w:qFormat/>
    <w:uiPriority w:val="99"/>
    <w:rPr>
      <w:sz w:val="18"/>
      <w:szCs w:val="18"/>
    </w:rPr>
  </w:style>
  <w:style w:type="character" w:customStyle="1" w:styleId="28">
    <w:name w:val="批注主题 字符"/>
    <w:link w:val="16"/>
    <w:semiHidden/>
    <w:qFormat/>
    <w:uiPriority w:val="0"/>
    <w:rPr>
      <w:rFonts w:ascii="等线" w:hAnsi="等线" w:eastAsia="等线"/>
      <w:b/>
      <w:bCs/>
      <w:kern w:val="2"/>
      <w:sz w:val="21"/>
      <w:szCs w:val="22"/>
    </w:rPr>
  </w:style>
  <w:style w:type="paragraph" w:customStyle="1" w:styleId="29">
    <w:name w:val="列出段落1"/>
    <w:basedOn w:val="1"/>
    <w:qFormat/>
    <w:uiPriority w:val="34"/>
    <w:pPr>
      <w:ind w:firstLine="420" w:firstLineChars="200"/>
    </w:pPr>
  </w:style>
  <w:style w:type="paragraph" w:customStyle="1" w:styleId="30">
    <w:name w:val="Char Char Char Char Char Char Char"/>
    <w:basedOn w:val="1"/>
    <w:qFormat/>
    <w:uiPriority w:val="0"/>
    <w:pPr>
      <w:spacing w:line="480" w:lineRule="auto"/>
    </w:pPr>
    <w:rPr>
      <w:rFonts w:ascii="Times New Roman" w:hAnsi="Times New Roman" w:eastAsia="宋体"/>
      <w:szCs w:val="21"/>
    </w:rPr>
  </w:style>
  <w:style w:type="paragraph" w:styleId="31">
    <w:name w:val="List Paragraph"/>
    <w:basedOn w:val="1"/>
    <w:unhideWhenUsed/>
    <w:qFormat/>
    <w:uiPriority w:val="99"/>
    <w:pPr>
      <w:ind w:firstLine="420" w:firstLineChars="200"/>
    </w:pPr>
  </w:style>
  <w:style w:type="character" w:customStyle="1" w:styleId="32">
    <w:name w:val="正文文本缩进 3 字符"/>
    <w:basedOn w:val="21"/>
    <w:link w:val="14"/>
    <w:qFormat/>
    <w:uiPriority w:val="0"/>
    <w:rPr>
      <w:kern w:val="2"/>
      <w:sz w:val="16"/>
    </w:rPr>
  </w:style>
  <w:style w:type="table" w:customStyle="1" w:styleId="33">
    <w:name w:val="Table Normal"/>
    <w:semiHidden/>
    <w:unhideWhenUsed/>
    <w:qFormat/>
    <w:uiPriority w:val="0"/>
    <w:tblPr>
      <w:tblCellMar>
        <w:top w:w="0" w:type="dxa"/>
        <w:left w:w="0" w:type="dxa"/>
        <w:bottom w:w="0" w:type="dxa"/>
        <w:right w:w="0" w:type="dxa"/>
      </w:tblCellMar>
    </w:tblPr>
  </w:style>
  <w:style w:type="paragraph" w:customStyle="1" w:styleId="34">
    <w:name w:val="WPSOffice手动目录 1"/>
    <w:qFormat/>
    <w:uiPriority w:val="0"/>
    <w:rPr>
      <w:rFonts w:ascii="Times New Roman" w:hAnsi="Times New Roman" w:eastAsia="宋体" w:cs="Times New Roman"/>
      <w:lang w:val="en-US" w:eastAsia="zh-CN" w:bidi="ar-SA"/>
    </w:rPr>
  </w:style>
  <w:style w:type="paragraph" w:customStyle="1" w:styleId="35">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36">
    <w:name w:val="样式 行距: 固定值 20 磅"/>
    <w:qFormat/>
    <w:uiPriority w:val="0"/>
    <w:pPr>
      <w:ind w:firstLine="480"/>
    </w:pPr>
    <w:rPr>
      <w:rFonts w:ascii="Times New Roman" w:hAnsi="Times New Roman" w:eastAsia="Times New Roman" w:cs="宋体"/>
      <w:sz w:val="24"/>
      <w:szCs w:val="24"/>
      <w:lang w:val="en-US" w:eastAsia="zh-CN" w:bidi="ar-SA"/>
    </w:rPr>
  </w:style>
  <w:style w:type="character" w:customStyle="1" w:styleId="37">
    <w:name w:val="font91"/>
    <w:basedOn w:val="21"/>
    <w:qFormat/>
    <w:uiPriority w:val="0"/>
    <w:rPr>
      <w:rFonts w:hint="eastAsia" w:ascii="宋体" w:hAnsi="宋体" w:eastAsia="宋体" w:cs="宋体"/>
      <w:b/>
      <w:bCs/>
      <w:color w:val="000000"/>
      <w:sz w:val="21"/>
      <w:szCs w:val="21"/>
      <w:u w:val="none"/>
    </w:rPr>
  </w:style>
  <w:style w:type="character" w:customStyle="1" w:styleId="38">
    <w:name w:val="font41"/>
    <w:basedOn w:val="21"/>
    <w:qFormat/>
    <w:uiPriority w:val="0"/>
    <w:rPr>
      <w:rFonts w:hint="eastAsia" w:ascii="宋体" w:hAnsi="宋体" w:eastAsia="宋体" w:cs="宋体"/>
      <w:color w:val="000000"/>
      <w:sz w:val="16"/>
      <w:szCs w:val="16"/>
      <w:u w:val="none"/>
    </w:rPr>
  </w:style>
  <w:style w:type="character" w:customStyle="1" w:styleId="39">
    <w:name w:val="font61"/>
    <w:basedOn w:val="21"/>
    <w:qFormat/>
    <w:uiPriority w:val="0"/>
    <w:rPr>
      <w:rFonts w:hint="default" w:ascii="Times New Roman" w:hAnsi="Times New Roman" w:cs="Times New Roman"/>
      <w:color w:val="000000"/>
      <w:sz w:val="21"/>
      <w:szCs w:val="21"/>
      <w:u w:val="none"/>
    </w:rPr>
  </w:style>
  <w:style w:type="character" w:customStyle="1" w:styleId="40">
    <w:name w:val="font71"/>
    <w:basedOn w:val="21"/>
    <w:qFormat/>
    <w:uiPriority w:val="0"/>
    <w:rPr>
      <w:rFonts w:ascii="仿宋" w:hAnsi="仿宋" w:eastAsia="仿宋" w:cs="仿宋"/>
      <w:color w:val="000000"/>
      <w:sz w:val="21"/>
      <w:szCs w:val="21"/>
      <w:u w:val="none"/>
    </w:rPr>
  </w:style>
  <w:style w:type="character" w:customStyle="1" w:styleId="41">
    <w:name w:val="font81"/>
    <w:basedOn w:val="21"/>
    <w:qFormat/>
    <w:uiPriority w:val="0"/>
    <w:rPr>
      <w:rFonts w:hint="eastAsia" w:ascii="仿宋" w:hAnsi="仿宋" w:eastAsia="仿宋" w:cs="仿宋"/>
      <w:color w:val="000000"/>
      <w:sz w:val="12"/>
      <w:szCs w:val="12"/>
      <w:u w:val="none"/>
    </w:rPr>
  </w:style>
  <w:style w:type="character" w:customStyle="1" w:styleId="42">
    <w:name w:val="font101"/>
    <w:basedOn w:val="21"/>
    <w:qFormat/>
    <w:uiPriority w:val="0"/>
    <w:rPr>
      <w:rFonts w:hint="eastAsia" w:ascii="仿宋" w:hAnsi="仿宋" w:eastAsia="仿宋" w:cs="仿宋"/>
      <w:color w:val="000000"/>
      <w:sz w:val="16"/>
      <w:szCs w:val="16"/>
      <w:u w:val="none"/>
    </w:rPr>
  </w:style>
  <w:style w:type="paragraph" w:customStyle="1" w:styleId="43">
    <w:name w:val="zxh正文"/>
    <w:basedOn w:val="1"/>
    <w:qFormat/>
    <w:uiPriority w:val="0"/>
    <w:pPr>
      <w:ind w:firstLine="480" w:firstLineChars="200"/>
    </w:pPr>
    <w:rPr>
      <w:rFonts w:ascii="Times New Roman" w:hAnsi="Times New Roman"/>
      <w:kern w:val="0"/>
    </w:rPr>
  </w:style>
  <w:style w:type="paragraph" w:customStyle="1" w:styleId="44">
    <w:name w:val="脚注文本1"/>
    <w:basedOn w:val="1"/>
    <w:next w:val="13"/>
    <w:link w:val="45"/>
    <w:unhideWhenUsed/>
    <w:qFormat/>
    <w:uiPriority w:val="99"/>
    <w:pPr>
      <w:widowControl/>
      <w:jc w:val="left"/>
    </w:pPr>
    <w:rPr>
      <w:rFonts w:asciiTheme="minorHAnsi" w:hAnsiTheme="minorHAnsi" w:eastAsiaTheme="minorEastAsia" w:cstheme="minorBidi"/>
      <w:kern w:val="0"/>
      <w:sz w:val="22"/>
      <w:lang w:val="en-GB"/>
    </w:rPr>
  </w:style>
  <w:style w:type="character" w:customStyle="1" w:styleId="45">
    <w:name w:val="脚注文本 字符"/>
    <w:basedOn w:val="21"/>
    <w:link w:val="44"/>
    <w:qFormat/>
    <w:uiPriority w:val="99"/>
    <w:rPr>
      <w:rFonts w:asciiTheme="minorHAnsi" w:hAnsiTheme="minorHAnsi" w:eastAsiaTheme="minorEastAsia" w:cstheme="minorBidi"/>
      <w:sz w:val="22"/>
      <w:szCs w:val="22"/>
      <w:lang w:val="en-GB"/>
    </w:rPr>
  </w:style>
  <w:style w:type="character" w:customStyle="1" w:styleId="46">
    <w:name w:val="脚注文本 字符1"/>
    <w:basedOn w:val="21"/>
    <w:link w:val="13"/>
    <w:semiHidden/>
    <w:qFormat/>
    <w:uiPriority w:val="99"/>
    <w:rPr>
      <w:rFonts w:ascii="等线" w:hAnsi="等线" w:eastAsia="等线"/>
      <w:kern w:val="2"/>
      <w:sz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2.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hart" Target="charts/chart1.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800" b="0" i="0" u="none" strike="noStrike" kern="1200" spc="0" baseline="0">
                <a:solidFill>
                  <a:schemeClr val="tx1">
                    <a:lumMod val="65000"/>
                    <a:lumOff val="35000"/>
                  </a:schemeClr>
                </a:solidFill>
                <a:latin typeface="宋体" panose="02010600030101010101" charset="-122"/>
                <a:ea typeface="宋体" panose="02010600030101010101" charset="-122"/>
                <a:cs typeface="+mn-cs"/>
              </a:defRPr>
            </a:pPr>
            <a:r>
              <a:rPr lang="zh-CN" altLang="en-US" sz="800">
                <a:latin typeface="宋体" panose="02010600030101010101" charset="-122"/>
                <a:ea typeface="宋体" panose="02010600030101010101" charset="-122"/>
              </a:rPr>
              <a:t>单位：人民币万元</a:t>
            </a:r>
            <a:endParaRPr lang="zh-CN" altLang="en-US" sz="800">
              <a:latin typeface="宋体" panose="02010600030101010101" charset="-122"/>
              <a:ea typeface="宋体" panose="02010600030101010101" charset="-122"/>
            </a:endParaRPr>
          </a:p>
        </c:rich>
      </c:tx>
      <c:layout>
        <c:manualLayout>
          <c:xMode val="edge"/>
          <c:yMode val="edge"/>
          <c:x val="0.829882013002649"/>
          <c:y val="0"/>
        </c:manualLayout>
      </c:layout>
      <c:overlay val="0"/>
      <c:spPr>
        <a:noFill/>
        <a:ln>
          <a:noFill/>
        </a:ln>
        <a:effectLst/>
      </c:spPr>
    </c:title>
    <c:autoTitleDeleted val="0"/>
    <c:plotArea>
      <c:layout/>
      <c:barChart>
        <c:barDir val="col"/>
        <c:grouping val="clustered"/>
        <c:varyColors val="0"/>
        <c:ser>
          <c:idx val="0"/>
          <c:order val="0"/>
          <c:tx>
            <c:strRef>
              <c:f>Sheet1!$B$1</c:f>
              <c:strCache>
                <c:ptCount val="1"/>
                <c:pt idx="0">
                  <c:v> nwei  </c:v>
                </c:pt>
              </c:strCache>
            </c:strRef>
          </c:tx>
          <c:spPr>
            <a:solidFill>
              <a:schemeClr val="bg1">
                <a:lumMod val="5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800" b="0" i="0" u="none" strike="noStrike" kern="1200" baseline="0">
                    <a:solidFill>
                      <a:schemeClr val="tx1">
                        <a:lumMod val="75000"/>
                        <a:lumOff val="25000"/>
                      </a:schemeClr>
                    </a:solidFill>
                    <a:latin typeface="宋体" panose="02010600030101010101" charset="-122"/>
                    <a:ea typeface="宋体" panose="02010600030101010101" charset="-122"/>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Sheet1!$A$2:$A$13</c:f>
              <c:numCache>
                <c:formatCode>General</c:formatCode>
                <c:ptCount val="12"/>
                <c:pt idx="0">
                  <c:v>2024</c:v>
                </c:pt>
                <c:pt idx="1">
                  <c:v>2025</c:v>
                </c:pt>
                <c:pt idx="2">
                  <c:v>2026</c:v>
                </c:pt>
                <c:pt idx="3">
                  <c:v>2027</c:v>
                </c:pt>
                <c:pt idx="4">
                  <c:v>2028</c:v>
                </c:pt>
                <c:pt idx="5">
                  <c:v>2029</c:v>
                </c:pt>
                <c:pt idx="6">
                  <c:v>2030</c:v>
                </c:pt>
                <c:pt idx="7">
                  <c:v>2031</c:v>
                </c:pt>
                <c:pt idx="8">
                  <c:v>2032</c:v>
                </c:pt>
                <c:pt idx="9">
                  <c:v>2033</c:v>
                </c:pt>
                <c:pt idx="10">
                  <c:v>2034</c:v>
                </c:pt>
                <c:pt idx="11">
                  <c:v>2035</c:v>
                </c:pt>
              </c:numCache>
            </c:numRef>
          </c:cat>
          <c:val>
            <c:numRef>
              <c:f>Sheet1!$B$2:$B$13</c:f>
              <c:numCache>
                <c:formatCode>_(* #,##0.00_);_(* \(#,##0.00\);_(* "-"??_);_(@_)</c:formatCode>
                <c:ptCount val="12"/>
                <c:pt idx="0">
                  <c:v>0</c:v>
                </c:pt>
                <c:pt idx="1">
                  <c:v>0</c:v>
                </c:pt>
                <c:pt idx="2">
                  <c:v>252.14</c:v>
                </c:pt>
                <c:pt idx="3">
                  <c:v>382.78</c:v>
                </c:pt>
                <c:pt idx="4">
                  <c:v>513.42</c:v>
                </c:pt>
                <c:pt idx="5">
                  <c:v>644.06</c:v>
                </c:pt>
                <c:pt idx="6">
                  <c:v>774.7</c:v>
                </c:pt>
                <c:pt idx="7">
                  <c:v>905.34</c:v>
                </c:pt>
                <c:pt idx="8">
                  <c:v>1035.98</c:v>
                </c:pt>
                <c:pt idx="9">
                  <c:v>1166.62</c:v>
                </c:pt>
                <c:pt idx="10">
                  <c:v>1297.26</c:v>
                </c:pt>
                <c:pt idx="11">
                  <c:v>436.7</c:v>
                </c:pt>
              </c:numCache>
            </c:numRef>
          </c:val>
        </c:ser>
        <c:dLbls>
          <c:showLegendKey val="0"/>
          <c:showVal val="1"/>
          <c:showCatName val="0"/>
          <c:showSerName val="0"/>
          <c:showPercent val="0"/>
          <c:showBubbleSize val="0"/>
        </c:dLbls>
        <c:gapWidth val="219"/>
        <c:overlap val="-27"/>
        <c:axId val="1120699488"/>
        <c:axId val="1120697688"/>
      </c:barChart>
      <c:catAx>
        <c:axId val="11206994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800" b="0" i="0" u="none" strike="noStrike" kern="1200" baseline="0">
                <a:solidFill>
                  <a:schemeClr val="tx1">
                    <a:lumMod val="65000"/>
                    <a:lumOff val="35000"/>
                  </a:schemeClr>
                </a:solidFill>
                <a:latin typeface="宋体" panose="02010600030101010101" charset="-122"/>
                <a:ea typeface="宋体" panose="02010600030101010101" charset="-122"/>
                <a:cs typeface="+mn-cs"/>
              </a:defRPr>
            </a:pPr>
          </a:p>
        </c:txPr>
        <c:crossAx val="1120697688"/>
        <c:crosses val="autoZero"/>
        <c:auto val="1"/>
        <c:lblAlgn val="ctr"/>
        <c:lblOffset val="100"/>
        <c:noMultiLvlLbl val="0"/>
      </c:catAx>
      <c:valAx>
        <c:axId val="1120697688"/>
        <c:scaling>
          <c:orientation val="minMax"/>
        </c:scaling>
        <c:delete val="0"/>
        <c:axPos val="l"/>
        <c:majorGridlines>
          <c:spPr>
            <a:ln w="9525" cap="flat" cmpd="sng" algn="ctr">
              <a:solidFill>
                <a:schemeClr val="tx1">
                  <a:lumMod val="15000"/>
                  <a:lumOff val="85000"/>
                </a:schemeClr>
              </a:solidFill>
              <a:round/>
            </a:ln>
            <a:effectLst/>
          </c:spPr>
        </c:majorGridlines>
        <c:numFmt formatCode="_(* #,##0.00_);_(* \(#,##0.00\);_(* &quot;-&quot;??_);_(@_)" sourceLinked="1"/>
        <c:majorTickMark val="none"/>
        <c:minorTickMark val="none"/>
        <c:tickLblPos val="nextTo"/>
        <c:spPr>
          <a:noFill/>
          <a:ln>
            <a:noFill/>
          </a:ln>
          <a:effectLst/>
        </c:spPr>
        <c:txPr>
          <a:bodyPr rot="-60000000" spcFirstLastPara="1" vertOverflow="ellipsis" vert="horz" wrap="square" anchor="ctr" anchorCtr="1"/>
          <a:lstStyle/>
          <a:p>
            <a:pPr>
              <a:defRPr lang="zh-CN" sz="800" b="0" i="0" u="none" strike="noStrike" kern="1200" baseline="0">
                <a:solidFill>
                  <a:schemeClr val="tx1">
                    <a:lumMod val="65000"/>
                    <a:lumOff val="35000"/>
                  </a:schemeClr>
                </a:solidFill>
                <a:latin typeface="宋体" panose="02010600030101010101" charset="-122"/>
                <a:ea typeface="宋体" panose="02010600030101010101" charset="-122"/>
                <a:cs typeface="+mn-cs"/>
              </a:defRPr>
            </a:pPr>
          </a:p>
        </c:txPr>
        <c:crossAx val="112069948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1870</Words>
  <Characters>10664</Characters>
  <Lines>88</Lines>
  <Paragraphs>25</Paragraphs>
  <TotalTime>17</TotalTime>
  <ScaleCrop>false</ScaleCrop>
  <LinksUpToDate>false</LinksUpToDate>
  <CharactersWithSpaces>12509</CharactersWithSpaces>
  <Application>WPS Office_11.8.6.11719_F1E327BC-269C-435d-A152-05C5408002CA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2019-07-27T14:03:00Z</dcterms:created>
  <dc:creator>xtzj</dc:creator>
  <cp:lastModifiedBy>王芳</cp:lastModifiedBy>
  <dcterms:modified xsi:type="dcterms:W3CDTF">2025-06-22T03:55:53Z</dcterms:modified>
  <dc:title>2019年儋州市兰洋特色小镇项目专项债券（二期)</dc:title>
  <cp:revision>335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2052-11.8.6.11719</vt:lpwstr>
  </property>
  <property fmtid="{D5CDD505-2E9C-101B-9397-08002B2CF9AE}" pid="3" name="ICV">
    <vt:lpwstr>D40A0589C2C841EC80BBFE38A1FD4ED9_13</vt:lpwstr>
  </property>
  <property fmtid="{D5CDD505-2E9C-101B-9397-08002B2CF9AE}" pid="4" name="KSOTemplateDocerSaveRecord">
    <vt:lpwstr>eyJoZGlkIjoiMTk4YjE3MGY2ZTI4ZjFkZTNlMDVjYjQ4ZWY1MzRiMzMiLCJ1c2VySWQiOiIxNDcwNTk3NDA2In0=</vt:lpwstr>
  </property>
</Properties>
</file>